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3EC8" w14:textId="77777777" w:rsidR="006C39D1" w:rsidRDefault="006C39D1" w:rsidP="00CF490B">
      <w:pPr>
        <w:pStyle w:val="Encabezado"/>
        <w:rPr>
          <w:lang w:val="en-GB"/>
        </w:rPr>
      </w:pPr>
    </w:p>
    <w:p w14:paraId="7A9315E6" w14:textId="46E7C390" w:rsidR="006C39D1" w:rsidRPr="0060001D" w:rsidRDefault="00C6049A" w:rsidP="006C39D1">
      <w:pPr>
        <w:pStyle w:val="Encabezado"/>
        <w:jc w:val="center"/>
        <w:rPr>
          <w:rFonts w:ascii="Abadi Extra Light" w:hAnsi="Abadi Extra Light"/>
          <w:lang w:val="en-GB"/>
        </w:rPr>
      </w:pPr>
      <w:r>
        <w:rPr>
          <w:rFonts w:ascii="Abadi Extra Light" w:hAnsi="Abadi Extra Light"/>
          <w:lang w:val="en-GB"/>
        </w:rPr>
        <w:t>Evaluation Criteria</w:t>
      </w:r>
    </w:p>
    <w:p w14:paraId="77BC03ED" w14:textId="77777777" w:rsidR="006C39D1" w:rsidRPr="006C39D1" w:rsidRDefault="006C39D1" w:rsidP="006C39D1">
      <w:pPr>
        <w:pStyle w:val="Encabezado"/>
        <w:jc w:val="center"/>
        <w:rPr>
          <w:lang w:val="en-GB"/>
        </w:rPr>
      </w:pPr>
    </w:p>
    <w:p w14:paraId="17F4F559" w14:textId="43748126" w:rsidR="006C39D1" w:rsidRDefault="006C39D1" w:rsidP="006C39D1">
      <w:pPr>
        <w:pStyle w:val="Encabezado"/>
        <w:jc w:val="center"/>
        <w:rPr>
          <w:lang w:val="en-GB"/>
        </w:rPr>
      </w:pPr>
      <w:r>
        <w:rPr>
          <w:noProof/>
          <w:lang w:val="en-GB"/>
        </w:rPr>
        <w:drawing>
          <wp:inline distT="0" distB="0" distL="0" distR="0" wp14:anchorId="678B6366" wp14:editId="449F5321">
            <wp:extent cx="1793240" cy="209816"/>
            <wp:effectExtent l="0" t="0" r="0" b="0"/>
            <wp:docPr id="68540167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01670" name="Imagen 1" descr="Logotipo, nombre de la empres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692" cy="217006"/>
                    </a:xfrm>
                    <a:prstGeom prst="rect">
                      <a:avLst/>
                    </a:prstGeom>
                  </pic:spPr>
                </pic:pic>
              </a:graphicData>
            </a:graphic>
          </wp:inline>
        </w:drawing>
      </w:r>
    </w:p>
    <w:p w14:paraId="39151989" w14:textId="17A10978" w:rsidR="006C39D1" w:rsidRDefault="006C39D1" w:rsidP="006C39D1">
      <w:pPr>
        <w:pStyle w:val="Encabezado"/>
        <w:jc w:val="center"/>
        <w:rPr>
          <w:lang w:val="en-GB"/>
        </w:rPr>
      </w:pPr>
      <w:r w:rsidRPr="006C39D1">
        <w:rPr>
          <w:lang w:val="en-GB"/>
        </w:rPr>
        <w:t>Technical Assistance Facility</w:t>
      </w:r>
    </w:p>
    <w:p w14:paraId="7371D722" w14:textId="39D45708" w:rsidR="006C39D1" w:rsidRPr="006C39D1" w:rsidRDefault="006C39D1" w:rsidP="006C39D1">
      <w:pPr>
        <w:pStyle w:val="Encabezado"/>
        <w:jc w:val="center"/>
        <w:rPr>
          <w:sz w:val="18"/>
          <w:szCs w:val="18"/>
          <w:lang w:val="en-GB"/>
        </w:rPr>
      </w:pPr>
      <w:r w:rsidRPr="006C39D1">
        <w:rPr>
          <w:sz w:val="18"/>
          <w:szCs w:val="18"/>
          <w:lang w:val="en-GB"/>
        </w:rPr>
        <w:t xml:space="preserve">Deadline to submit applications: </w:t>
      </w:r>
      <w:r w:rsidR="00C6049A">
        <w:rPr>
          <w:sz w:val="18"/>
          <w:szCs w:val="18"/>
          <w:lang w:val="en-GB"/>
        </w:rPr>
        <w:t>31</w:t>
      </w:r>
      <w:r w:rsidR="00C6049A" w:rsidRPr="00C6049A">
        <w:rPr>
          <w:sz w:val="18"/>
          <w:szCs w:val="18"/>
          <w:vertAlign w:val="superscript"/>
          <w:lang w:val="en-GB"/>
        </w:rPr>
        <w:t>st</w:t>
      </w:r>
      <w:r w:rsidR="00C6049A">
        <w:rPr>
          <w:sz w:val="18"/>
          <w:szCs w:val="18"/>
          <w:lang w:val="en-GB"/>
        </w:rPr>
        <w:t xml:space="preserve"> </w:t>
      </w:r>
      <w:r w:rsidRPr="006C39D1">
        <w:rPr>
          <w:sz w:val="18"/>
          <w:szCs w:val="18"/>
          <w:lang w:val="en-GB"/>
        </w:rPr>
        <w:t>October 2025</w:t>
      </w:r>
    </w:p>
    <w:p w14:paraId="58DD8397" w14:textId="77777777" w:rsidR="009348D8" w:rsidRDefault="009348D8" w:rsidP="006C39D1">
      <w:pPr>
        <w:ind w:left="-851"/>
        <w:jc w:val="center"/>
        <w:rPr>
          <w:sz w:val="16"/>
          <w:szCs w:val="16"/>
          <w:lang w:val="en-GB"/>
        </w:rPr>
      </w:pPr>
    </w:p>
    <w:p w14:paraId="4E68C5E8" w14:textId="77777777" w:rsidR="006C39D1" w:rsidRDefault="006C39D1" w:rsidP="006C39D1">
      <w:pPr>
        <w:pStyle w:val="Prrafodelista"/>
        <w:ind w:left="0"/>
        <w:rPr>
          <w:sz w:val="16"/>
          <w:szCs w:val="16"/>
          <w:lang w:val="en-GB"/>
        </w:rPr>
      </w:pPr>
    </w:p>
    <w:p w14:paraId="027DC831" w14:textId="7962EC0C" w:rsidR="006C39D1" w:rsidRPr="00257174" w:rsidRDefault="006C39D1" w:rsidP="006C39D1">
      <w:pPr>
        <w:pStyle w:val="Prrafodelista"/>
        <w:numPr>
          <w:ilvl w:val="0"/>
          <w:numId w:val="2"/>
        </w:numPr>
        <w:ind w:left="0" w:hanging="142"/>
        <w:rPr>
          <w:b/>
          <w:bCs/>
          <w:sz w:val="16"/>
          <w:szCs w:val="16"/>
          <w:lang w:val="en-GB"/>
        </w:rPr>
      </w:pPr>
      <w:r w:rsidRPr="00257174">
        <w:rPr>
          <w:b/>
          <w:bCs/>
          <w:sz w:val="16"/>
          <w:szCs w:val="16"/>
          <w:lang w:val="en-GB"/>
        </w:rPr>
        <w:t>BACKGROUND</w:t>
      </w:r>
    </w:p>
    <w:p w14:paraId="0B981ABD" w14:textId="0286C201" w:rsidR="00E569F7" w:rsidRDefault="00E569F7" w:rsidP="00E569F7">
      <w:pPr>
        <w:rPr>
          <w:sz w:val="16"/>
          <w:szCs w:val="16"/>
          <w:lang w:val="en-GB"/>
        </w:rPr>
      </w:pPr>
      <w:r>
        <w:rPr>
          <w:sz w:val="16"/>
          <w:szCs w:val="16"/>
          <w:lang w:val="en-GB"/>
        </w:rPr>
        <w:t xml:space="preserve">The Blue Bond Accelerator prioritizes accelerating credible blue bond issuance as a cornerstone for scaling investment in the regenerative and sustainable blue economy. Without significant capital mobilization, the ocean finance gap threatens to undermine climate resilience, food security, and livelihoods, with billions of people at risk. The funding needed to achieve these goals is substantial: estimates suggest that sustainable ocean investments could generate up to USD 15.5 trillion in benefits by mid-century, yet current flows remain far below what is required. </w:t>
      </w:r>
    </w:p>
    <w:p w14:paraId="60B1922A" w14:textId="79E5AD0F" w:rsidR="00A230E9" w:rsidRDefault="00A230E9" w:rsidP="00E569F7">
      <w:pPr>
        <w:rPr>
          <w:sz w:val="16"/>
          <w:szCs w:val="16"/>
          <w:lang w:val="en-GB"/>
        </w:rPr>
      </w:pPr>
      <w:r>
        <w:rPr>
          <w:sz w:val="16"/>
          <w:szCs w:val="16"/>
          <w:lang w:val="en-GB"/>
        </w:rPr>
        <w:t xml:space="preserve">Blue bonds have the potential to close this financing gap by mobilizing private and public capital for high-integrity, ocean-positive projects. The Blue Bond Accelerator (BBA) was established to help issuers overcome the systemic barriers to blue bond issuance: limited knowledge and capacity, insufficient pipelines, high upfront costs, and lack of clarity on standards and metrics. In partnership with leading organizations such as the Ocean Risk and Resilience Action Alliance (ORRAA), the UK Government, the Government of Canada, and the Paul M. Angell Family Foundation, the BBA provides targeted technical assistance, cost-sharing, framework alignment, investor visibility, and partner connections. </w:t>
      </w:r>
    </w:p>
    <w:p w14:paraId="0C36D48F" w14:textId="2D15E299" w:rsidR="00A230E9" w:rsidRDefault="00C6049A" w:rsidP="00E569F7">
      <w:pPr>
        <w:rPr>
          <w:sz w:val="16"/>
          <w:szCs w:val="16"/>
          <w:lang w:val="en-GB"/>
        </w:rPr>
      </w:pPr>
      <w:r w:rsidRPr="00C6049A">
        <w:rPr>
          <w:sz w:val="16"/>
          <w:szCs w:val="16"/>
          <w:lang w:val="en-GB"/>
        </w:rPr>
        <w:t>As such, the BBA has launched its Technical Assistance Facility as a call to sovereigns, sub-sovereigns, corporates, and financial institutions seeking to issue credible blue bonds and build a high-quality blue bond market that ha</w:t>
      </w:r>
      <w:r w:rsidR="00671DBB">
        <w:rPr>
          <w:sz w:val="16"/>
          <w:szCs w:val="16"/>
          <w:lang w:val="en-GB"/>
        </w:rPr>
        <w:t>s</w:t>
      </w:r>
      <w:r w:rsidRPr="00C6049A">
        <w:rPr>
          <w:sz w:val="16"/>
          <w:szCs w:val="16"/>
          <w:lang w:val="en-GB"/>
        </w:rPr>
        <w:t xml:space="preserve"> strong investor appeal and meet impact criteria and with the aim to catalyse US$70 billion in blue bond investments by 2030</w:t>
      </w:r>
      <w:r>
        <w:rPr>
          <w:sz w:val="16"/>
          <w:szCs w:val="16"/>
          <w:lang w:val="en-GB"/>
        </w:rPr>
        <w:t xml:space="preserve">. </w:t>
      </w:r>
      <w:r w:rsidR="00A230E9">
        <w:rPr>
          <w:sz w:val="16"/>
          <w:szCs w:val="16"/>
          <w:lang w:val="en-GB"/>
        </w:rPr>
        <w:t xml:space="preserve">The BBA and its partners provide expert support, from framework development and eligibility checks to investor engagement and post-issuance reporting while also helping to reduce issuance costs and de-risk transactions. </w:t>
      </w:r>
    </w:p>
    <w:p w14:paraId="0305F409" w14:textId="77777777" w:rsidR="00C6049A" w:rsidRDefault="00C6049A" w:rsidP="00C6049A">
      <w:pPr>
        <w:pStyle w:val="Prrafodelista"/>
        <w:ind w:left="0"/>
        <w:rPr>
          <w:sz w:val="16"/>
          <w:szCs w:val="16"/>
          <w:lang w:val="en-GB"/>
        </w:rPr>
      </w:pPr>
    </w:p>
    <w:p w14:paraId="530DC164" w14:textId="77777777" w:rsidR="00C6049A" w:rsidRDefault="00C6049A" w:rsidP="00C6049A">
      <w:pPr>
        <w:pStyle w:val="Prrafodelista"/>
        <w:ind w:left="0"/>
        <w:rPr>
          <w:sz w:val="16"/>
          <w:szCs w:val="16"/>
          <w:lang w:val="en-GB"/>
        </w:rPr>
      </w:pPr>
    </w:p>
    <w:p w14:paraId="74CA0CEF" w14:textId="5B7780CF" w:rsidR="00C6049A" w:rsidRPr="00257174" w:rsidRDefault="00C6049A" w:rsidP="00B9430E">
      <w:pPr>
        <w:pStyle w:val="Prrafodelista"/>
        <w:numPr>
          <w:ilvl w:val="0"/>
          <w:numId w:val="2"/>
        </w:numPr>
        <w:ind w:left="0" w:hanging="142"/>
        <w:rPr>
          <w:b/>
          <w:bCs/>
          <w:sz w:val="16"/>
          <w:szCs w:val="16"/>
          <w:lang w:val="en-GB"/>
        </w:rPr>
      </w:pPr>
      <w:r w:rsidRPr="00257174">
        <w:rPr>
          <w:b/>
          <w:bCs/>
          <w:sz w:val="16"/>
          <w:szCs w:val="16"/>
          <w:lang w:val="en-GB"/>
        </w:rPr>
        <w:t>SCOPE OF THE WORK</w:t>
      </w:r>
    </w:p>
    <w:p w14:paraId="5D77F324" w14:textId="5DF11F37" w:rsidR="00C6049A" w:rsidRPr="00257174" w:rsidRDefault="00C6049A" w:rsidP="00C6049A">
      <w:pPr>
        <w:pStyle w:val="NormalWeb"/>
        <w:spacing w:before="0" w:beforeAutospacing="0" w:after="160" w:afterAutospacing="0"/>
        <w:jc w:val="both"/>
        <w:rPr>
          <w:lang w:val="en-GB"/>
        </w:rPr>
      </w:pPr>
      <w:r w:rsidRPr="00C6049A">
        <w:rPr>
          <w:rFonts w:ascii="Aptos" w:hAnsi="Aptos"/>
          <w:color w:val="000000"/>
          <w:sz w:val="16"/>
          <w:szCs w:val="16"/>
          <w:lang w:val="en-GB"/>
        </w:rPr>
        <w:t xml:space="preserve">The Request for </w:t>
      </w:r>
      <w:r w:rsidR="00CF490B">
        <w:rPr>
          <w:rFonts w:ascii="Aptos" w:hAnsi="Aptos"/>
          <w:color w:val="000000"/>
          <w:sz w:val="16"/>
          <w:szCs w:val="16"/>
          <w:lang w:val="en-GB"/>
        </w:rPr>
        <w:t>Applications</w:t>
      </w:r>
      <w:r w:rsidR="00CF490B" w:rsidRPr="00C6049A">
        <w:rPr>
          <w:rFonts w:ascii="Aptos" w:hAnsi="Aptos"/>
          <w:color w:val="000000"/>
          <w:sz w:val="16"/>
          <w:szCs w:val="16"/>
          <w:lang w:val="en-GB"/>
        </w:rPr>
        <w:t xml:space="preserve"> </w:t>
      </w:r>
      <w:r w:rsidRPr="00C6049A">
        <w:rPr>
          <w:rFonts w:ascii="Aptos" w:hAnsi="Aptos"/>
          <w:color w:val="000000"/>
          <w:sz w:val="16"/>
          <w:szCs w:val="16"/>
          <w:lang w:val="en-GB"/>
        </w:rPr>
        <w:t>seeks to support bond issuances aimed at developing a sustainable blue economy — encompassing the ocean economy, marine economy, and maritime economy and sector. The expected impacts include strengthening coastal resilience, contributing to climate stabilization, and protecting the most vulnerable ocean ecosystems</w:t>
      </w:r>
      <w:r w:rsidR="00257174">
        <w:rPr>
          <w:rFonts w:ascii="Aptos" w:hAnsi="Aptos"/>
          <w:color w:val="000000"/>
          <w:sz w:val="16"/>
          <w:szCs w:val="16"/>
          <w:lang w:val="en-GB"/>
        </w:rPr>
        <w:t xml:space="preserve"> </w:t>
      </w:r>
      <w:r w:rsidR="00257174" w:rsidRPr="00257174">
        <w:rPr>
          <w:rFonts w:ascii="Aptos" w:hAnsi="Aptos"/>
          <w:color w:val="000000"/>
          <w:sz w:val="16"/>
          <w:szCs w:val="16"/>
          <w:lang w:val="en-GB"/>
        </w:rPr>
        <w:t>(appendix 1)</w:t>
      </w:r>
      <w:r w:rsidR="00257174">
        <w:rPr>
          <w:rFonts w:ascii="Aptos" w:hAnsi="Aptos"/>
          <w:color w:val="000000"/>
          <w:sz w:val="16"/>
          <w:szCs w:val="16"/>
          <w:lang w:val="en-GB"/>
        </w:rPr>
        <w:t>.</w:t>
      </w:r>
    </w:p>
    <w:p w14:paraId="0B42E814" w14:textId="77777777" w:rsidR="00C6049A" w:rsidRPr="00C6049A" w:rsidRDefault="00C6049A" w:rsidP="00C6049A">
      <w:pPr>
        <w:rPr>
          <w:sz w:val="16"/>
          <w:szCs w:val="16"/>
          <w:lang w:val="en-GB"/>
        </w:rPr>
      </w:pPr>
    </w:p>
    <w:p w14:paraId="1A9E996E" w14:textId="51C1042D" w:rsidR="00B9430E" w:rsidRPr="00257174" w:rsidRDefault="00B9430E" w:rsidP="00B9430E">
      <w:pPr>
        <w:pStyle w:val="Prrafodelista"/>
        <w:numPr>
          <w:ilvl w:val="0"/>
          <w:numId w:val="2"/>
        </w:numPr>
        <w:ind w:left="0" w:hanging="142"/>
        <w:rPr>
          <w:b/>
          <w:bCs/>
          <w:sz w:val="16"/>
          <w:szCs w:val="16"/>
          <w:lang w:val="en-GB"/>
        </w:rPr>
      </w:pPr>
      <w:r w:rsidRPr="00257174">
        <w:rPr>
          <w:b/>
          <w:bCs/>
          <w:sz w:val="16"/>
          <w:szCs w:val="16"/>
          <w:lang w:val="en-GB"/>
        </w:rPr>
        <w:t>EXPECTED ACTIVITIES AND WORKING PLAN</w:t>
      </w:r>
    </w:p>
    <w:p w14:paraId="3EA5FFB6" w14:textId="77777777" w:rsidR="00B9430E" w:rsidRDefault="00B9430E" w:rsidP="00B9430E">
      <w:pPr>
        <w:pStyle w:val="Prrafodelista"/>
        <w:ind w:left="0"/>
        <w:rPr>
          <w:sz w:val="16"/>
          <w:szCs w:val="16"/>
          <w:lang w:val="en-GB"/>
        </w:rPr>
      </w:pPr>
    </w:p>
    <w:p w14:paraId="67AC0400" w14:textId="22BA09B6" w:rsidR="00B9430E" w:rsidRDefault="00B9430E" w:rsidP="00B9430E">
      <w:pPr>
        <w:pStyle w:val="Prrafodelista"/>
        <w:ind w:left="0"/>
        <w:rPr>
          <w:sz w:val="16"/>
          <w:szCs w:val="16"/>
          <w:lang w:val="en-GB"/>
        </w:rPr>
      </w:pPr>
      <w:r>
        <w:rPr>
          <w:sz w:val="16"/>
          <w:szCs w:val="16"/>
          <w:lang w:val="en-GB"/>
        </w:rPr>
        <w:t xml:space="preserve">The anticipated implementation period will commence upon the selection of the </w:t>
      </w:r>
      <w:r w:rsidR="00671DBB">
        <w:rPr>
          <w:sz w:val="16"/>
          <w:szCs w:val="16"/>
          <w:lang w:val="en-GB"/>
        </w:rPr>
        <w:t xml:space="preserve">candidates in </w:t>
      </w:r>
      <w:r w:rsidR="00257174">
        <w:rPr>
          <w:sz w:val="16"/>
          <w:szCs w:val="16"/>
          <w:lang w:val="en-GB"/>
        </w:rPr>
        <w:t>early November 2025</w:t>
      </w:r>
      <w:r w:rsidR="00C6049A" w:rsidRPr="00C6049A">
        <w:rPr>
          <w:sz w:val="16"/>
          <w:szCs w:val="16"/>
          <w:lang w:val="en-GB"/>
        </w:rPr>
        <w:t>. Pilot is expected to run until June 2026 including the post pilot support. The structured process ensures adequate time for applicant selection, technical assistance, pilot implementation, and comprehensive follow-up activities. </w:t>
      </w:r>
    </w:p>
    <w:p w14:paraId="33E1BABB" w14:textId="77777777" w:rsidR="00C6049A" w:rsidRDefault="00C6049A" w:rsidP="00B9430E">
      <w:pPr>
        <w:pStyle w:val="Prrafodelista"/>
        <w:ind w:left="0"/>
        <w:rPr>
          <w:sz w:val="16"/>
          <w:szCs w:val="16"/>
          <w:lang w:val="en-GB"/>
        </w:rPr>
      </w:pPr>
    </w:p>
    <w:p w14:paraId="31CA54B1" w14:textId="79AC7D9C" w:rsidR="00C6049A" w:rsidRDefault="00C6049A" w:rsidP="00B9430E">
      <w:pPr>
        <w:pStyle w:val="Prrafodelista"/>
        <w:ind w:left="0"/>
        <w:rPr>
          <w:sz w:val="16"/>
          <w:szCs w:val="16"/>
          <w:lang w:val="en-GB"/>
        </w:rPr>
      </w:pPr>
      <w:r>
        <w:rPr>
          <w:sz w:val="16"/>
          <w:szCs w:val="16"/>
          <w:lang w:val="en-GB"/>
        </w:rPr>
        <w:t>Timeline:</w:t>
      </w:r>
    </w:p>
    <w:p w14:paraId="2CB0EA57" w14:textId="77777777" w:rsidR="00C6049A" w:rsidRDefault="00C6049A" w:rsidP="00B9430E">
      <w:pPr>
        <w:pStyle w:val="Prrafodelista"/>
        <w:ind w:left="0"/>
        <w:rPr>
          <w:sz w:val="16"/>
          <w:szCs w:val="16"/>
          <w:lang w:val="en-GB"/>
        </w:rPr>
      </w:pPr>
    </w:p>
    <w:p w14:paraId="19C799E1" w14:textId="6E67E454" w:rsidR="00C6049A" w:rsidRPr="00C6049A" w:rsidRDefault="00C6049A" w:rsidP="00C6049A">
      <w:pPr>
        <w:pStyle w:val="Prrafodelista"/>
        <w:numPr>
          <w:ilvl w:val="0"/>
          <w:numId w:val="8"/>
        </w:numPr>
        <w:rPr>
          <w:sz w:val="16"/>
          <w:szCs w:val="16"/>
          <w:lang w:val="en-GB"/>
        </w:rPr>
      </w:pPr>
      <w:r w:rsidRPr="00C6049A">
        <w:rPr>
          <w:sz w:val="16"/>
          <w:szCs w:val="16"/>
          <w:lang w:val="en-GB"/>
        </w:rPr>
        <w:t>Shortlisting of applications: 31/10/2025</w:t>
      </w:r>
    </w:p>
    <w:p w14:paraId="19671F03" w14:textId="7F748CB0" w:rsidR="00C6049A" w:rsidRPr="00C6049A" w:rsidRDefault="00C6049A" w:rsidP="00C6049A">
      <w:pPr>
        <w:pStyle w:val="Prrafodelista"/>
        <w:numPr>
          <w:ilvl w:val="0"/>
          <w:numId w:val="8"/>
        </w:numPr>
        <w:rPr>
          <w:sz w:val="16"/>
          <w:szCs w:val="16"/>
          <w:lang w:val="en-GB"/>
        </w:rPr>
      </w:pPr>
      <w:r w:rsidRPr="00C6049A">
        <w:rPr>
          <w:sz w:val="16"/>
          <w:szCs w:val="16"/>
          <w:lang w:val="en-GB"/>
        </w:rPr>
        <w:t>Selection of applicants: Early November</w:t>
      </w:r>
    </w:p>
    <w:p w14:paraId="241D7A80" w14:textId="77777777" w:rsidR="00C6049A" w:rsidRPr="00C6049A" w:rsidRDefault="00C6049A" w:rsidP="00C6049A">
      <w:pPr>
        <w:pStyle w:val="Prrafodelista"/>
        <w:numPr>
          <w:ilvl w:val="0"/>
          <w:numId w:val="8"/>
        </w:numPr>
        <w:rPr>
          <w:sz w:val="16"/>
          <w:szCs w:val="16"/>
          <w:lang w:val="en-GB"/>
        </w:rPr>
      </w:pPr>
      <w:r w:rsidRPr="00C6049A">
        <w:rPr>
          <w:sz w:val="16"/>
          <w:szCs w:val="16"/>
          <w:lang w:val="en-GB"/>
        </w:rPr>
        <w:t>Implementation: November 2025- March 2026</w:t>
      </w:r>
    </w:p>
    <w:p w14:paraId="19F1541F" w14:textId="77777777" w:rsidR="00C6049A" w:rsidRPr="00C6049A" w:rsidRDefault="00C6049A" w:rsidP="00C6049A">
      <w:pPr>
        <w:pStyle w:val="Prrafodelista"/>
        <w:numPr>
          <w:ilvl w:val="0"/>
          <w:numId w:val="8"/>
        </w:numPr>
        <w:rPr>
          <w:sz w:val="16"/>
          <w:szCs w:val="16"/>
          <w:lang w:val="en-GB"/>
        </w:rPr>
      </w:pPr>
      <w:r w:rsidRPr="00C6049A">
        <w:rPr>
          <w:sz w:val="16"/>
          <w:szCs w:val="16"/>
          <w:lang w:val="en-GB"/>
        </w:rPr>
        <w:t>Post issuance support: March 2026 – June 2026</w:t>
      </w:r>
    </w:p>
    <w:p w14:paraId="114C2158" w14:textId="77777777" w:rsidR="00C6049A" w:rsidRPr="00C6049A" w:rsidRDefault="00C6049A" w:rsidP="00B9430E">
      <w:pPr>
        <w:pStyle w:val="Prrafodelista"/>
        <w:ind w:left="0"/>
        <w:rPr>
          <w:sz w:val="16"/>
          <w:szCs w:val="16"/>
          <w:lang w:val="en-GB"/>
        </w:rPr>
      </w:pPr>
    </w:p>
    <w:p w14:paraId="6B285DC8" w14:textId="77777777" w:rsidR="00B9430E" w:rsidRPr="00B9430E" w:rsidRDefault="00B9430E" w:rsidP="00B9430E">
      <w:pPr>
        <w:rPr>
          <w:sz w:val="16"/>
          <w:szCs w:val="16"/>
          <w:lang w:val="en-GB"/>
        </w:rPr>
      </w:pPr>
      <w:r w:rsidRPr="00B9430E">
        <w:rPr>
          <w:sz w:val="16"/>
          <w:szCs w:val="16"/>
          <w:lang w:val="en-GB"/>
        </w:rPr>
        <w:t xml:space="preserve">Applicants are expected to provide a detailed workplan of the activities, specifically noting the activities which require support and technical assistance. We expect every issuer’s capacity and needs to be different and therefore leave it to the issuer to communicate their support needs allowing the consortium partners to tailor our support appropriately. </w:t>
      </w:r>
    </w:p>
    <w:p w14:paraId="5B4FF6D3" w14:textId="77777777" w:rsidR="00660E1E" w:rsidRDefault="00660E1E" w:rsidP="00B9430E">
      <w:pPr>
        <w:rPr>
          <w:sz w:val="16"/>
          <w:szCs w:val="16"/>
          <w:lang w:val="en-GB"/>
        </w:rPr>
      </w:pPr>
    </w:p>
    <w:p w14:paraId="5D4E99F7" w14:textId="77777777" w:rsidR="00660E1E" w:rsidRDefault="00660E1E" w:rsidP="00B9430E">
      <w:pPr>
        <w:rPr>
          <w:sz w:val="16"/>
          <w:szCs w:val="16"/>
          <w:lang w:val="en-GB"/>
        </w:rPr>
      </w:pPr>
    </w:p>
    <w:p w14:paraId="0CDC3367" w14:textId="77777777" w:rsidR="007B5409" w:rsidRDefault="007B5409" w:rsidP="00B9430E">
      <w:pPr>
        <w:rPr>
          <w:sz w:val="16"/>
          <w:szCs w:val="16"/>
          <w:lang w:val="en-GB"/>
        </w:rPr>
      </w:pPr>
    </w:p>
    <w:p w14:paraId="06A2AF35" w14:textId="25BCF6A3" w:rsidR="00B9430E" w:rsidRPr="00B9430E" w:rsidRDefault="00B9430E" w:rsidP="00B9430E">
      <w:pPr>
        <w:rPr>
          <w:sz w:val="16"/>
          <w:szCs w:val="16"/>
          <w:lang w:val="en-GB"/>
        </w:rPr>
      </w:pPr>
      <w:r w:rsidRPr="00B9430E">
        <w:rPr>
          <w:sz w:val="16"/>
          <w:szCs w:val="16"/>
          <w:lang w:val="en-GB"/>
        </w:rPr>
        <w:lastRenderedPageBreak/>
        <w:t xml:space="preserve">Examples of support and activities that may be included in the work plan include: </w:t>
      </w:r>
    </w:p>
    <w:p w14:paraId="2A2826F3" w14:textId="6394D634" w:rsidR="00B9430E" w:rsidRPr="00257174" w:rsidRDefault="00B9430E" w:rsidP="00C6049A">
      <w:pPr>
        <w:pStyle w:val="Prrafodelista"/>
        <w:spacing w:after="0"/>
        <w:rPr>
          <w:sz w:val="16"/>
          <w:szCs w:val="16"/>
          <w:lang w:val="en-GB"/>
        </w:rPr>
      </w:pPr>
      <w:r w:rsidRPr="00257174">
        <w:rPr>
          <w:sz w:val="16"/>
          <w:szCs w:val="16"/>
          <w:lang w:val="en-GB"/>
        </w:rPr>
        <w:t xml:space="preserve">• </w:t>
      </w:r>
      <w:r w:rsidR="00C6049A" w:rsidRPr="00257174">
        <w:rPr>
          <w:sz w:val="16"/>
          <w:szCs w:val="16"/>
          <w:lang w:val="en-GB"/>
        </w:rPr>
        <w:t>Support for obtaining</w:t>
      </w:r>
      <w:r w:rsidR="00257174" w:rsidRPr="00257174">
        <w:rPr>
          <w:sz w:val="16"/>
          <w:szCs w:val="16"/>
          <w:lang w:val="en-GB"/>
        </w:rPr>
        <w:t xml:space="preserve"> a</w:t>
      </w:r>
      <w:r w:rsidRPr="00257174">
        <w:rPr>
          <w:sz w:val="16"/>
          <w:szCs w:val="16"/>
          <w:lang w:val="en-GB"/>
        </w:rPr>
        <w:t xml:space="preserve"> Second Party Opinion or External Review </w:t>
      </w:r>
    </w:p>
    <w:p w14:paraId="49B998B6" w14:textId="360507A4" w:rsidR="00B9430E" w:rsidRPr="00257174" w:rsidRDefault="00B9430E" w:rsidP="00C6049A">
      <w:pPr>
        <w:pStyle w:val="Prrafodelista"/>
        <w:spacing w:after="0"/>
        <w:rPr>
          <w:sz w:val="16"/>
          <w:szCs w:val="16"/>
          <w:lang w:val="en-GB"/>
        </w:rPr>
      </w:pPr>
      <w:r w:rsidRPr="00257174">
        <w:rPr>
          <w:sz w:val="16"/>
          <w:szCs w:val="16"/>
          <w:lang w:val="en-GB"/>
        </w:rPr>
        <w:t xml:space="preserve">• Development of a Blue Bond Framework; or support in defining </w:t>
      </w:r>
      <w:r w:rsidR="00C6049A" w:rsidRPr="00257174">
        <w:rPr>
          <w:sz w:val="16"/>
          <w:szCs w:val="16"/>
          <w:lang w:val="en-GB"/>
        </w:rPr>
        <w:t>relevant</w:t>
      </w:r>
      <w:r w:rsidRPr="00257174">
        <w:rPr>
          <w:sz w:val="16"/>
          <w:szCs w:val="16"/>
          <w:lang w:val="en-GB"/>
        </w:rPr>
        <w:t xml:space="preserve"> blue-related KPIs</w:t>
      </w:r>
      <w:r w:rsidR="00C6049A" w:rsidRPr="00257174">
        <w:rPr>
          <w:sz w:val="16"/>
          <w:szCs w:val="16"/>
          <w:lang w:val="en-GB"/>
        </w:rPr>
        <w:t xml:space="preserve"> and on project selection, </w:t>
      </w:r>
      <w:r w:rsidRPr="00257174">
        <w:rPr>
          <w:sz w:val="16"/>
          <w:szCs w:val="16"/>
          <w:lang w:val="en-GB"/>
        </w:rPr>
        <w:t xml:space="preserve">ensuring alignment with ocean-positive outcomes. </w:t>
      </w:r>
    </w:p>
    <w:p w14:paraId="70245615" w14:textId="7554C12C" w:rsidR="00B9430E" w:rsidRPr="00257174" w:rsidRDefault="00B9430E" w:rsidP="00C6049A">
      <w:pPr>
        <w:pStyle w:val="Prrafodelista"/>
        <w:spacing w:after="0"/>
        <w:rPr>
          <w:sz w:val="16"/>
          <w:szCs w:val="16"/>
          <w:lang w:val="en-GB"/>
        </w:rPr>
      </w:pPr>
      <w:r w:rsidRPr="00257174">
        <w:rPr>
          <w:sz w:val="16"/>
          <w:szCs w:val="16"/>
          <w:lang w:val="en-GB"/>
        </w:rPr>
        <w:t>• Ensure bond is aligned with international best practices and requirements (e.g. ICMA Principles, IFC Blue Finance Guidelines, UNEP FI recommendations).</w:t>
      </w:r>
    </w:p>
    <w:p w14:paraId="3D0746E9" w14:textId="51947E15" w:rsidR="00B9430E" w:rsidRPr="00257174" w:rsidRDefault="00B9430E" w:rsidP="00C6049A">
      <w:pPr>
        <w:pStyle w:val="Prrafodelista"/>
        <w:spacing w:after="0"/>
        <w:rPr>
          <w:sz w:val="16"/>
          <w:szCs w:val="16"/>
          <w:lang w:val="en-GB"/>
        </w:rPr>
      </w:pPr>
      <w:r w:rsidRPr="00257174">
        <w:rPr>
          <w:sz w:val="16"/>
          <w:szCs w:val="16"/>
          <w:lang w:val="en-GB"/>
        </w:rPr>
        <w:t xml:space="preserve">• Pre-issuance training and tailored guidance, including step-by-step checklists, action plans, and hands-on support throughout the issuance process. </w:t>
      </w:r>
    </w:p>
    <w:p w14:paraId="10161538" w14:textId="7BEC96B3" w:rsidR="00C6049A" w:rsidRPr="00257174" w:rsidRDefault="00C6049A" w:rsidP="00C6049A">
      <w:pPr>
        <w:tabs>
          <w:tab w:val="left" w:pos="709"/>
        </w:tabs>
        <w:spacing w:after="0"/>
        <w:ind w:left="720"/>
        <w:rPr>
          <w:sz w:val="16"/>
          <w:szCs w:val="16"/>
          <w:lang w:val="en-GB"/>
        </w:rPr>
      </w:pPr>
      <w:r w:rsidRPr="00257174">
        <w:rPr>
          <w:sz w:val="16"/>
          <w:szCs w:val="16"/>
          <w:lang w:val="en-GB"/>
        </w:rPr>
        <w:t>•Support in identification of potential investors and key stakeholders depending on the structure of the bonds</w:t>
      </w:r>
    </w:p>
    <w:p w14:paraId="14186631" w14:textId="4FCB1760" w:rsidR="00B9430E" w:rsidRPr="00257174" w:rsidRDefault="00B9430E" w:rsidP="00C6049A">
      <w:pPr>
        <w:spacing w:after="0"/>
        <w:ind w:left="720"/>
        <w:rPr>
          <w:sz w:val="16"/>
          <w:szCs w:val="16"/>
          <w:lang w:val="en-GB"/>
        </w:rPr>
      </w:pPr>
      <w:r w:rsidRPr="00257174">
        <w:rPr>
          <w:sz w:val="16"/>
          <w:szCs w:val="16"/>
          <w:lang w:val="en-GB"/>
        </w:rPr>
        <w:t>• Support in communicating</w:t>
      </w:r>
      <w:r w:rsidR="002A430C" w:rsidRPr="00257174">
        <w:rPr>
          <w:sz w:val="16"/>
          <w:szCs w:val="16"/>
          <w:lang w:val="en-GB"/>
        </w:rPr>
        <w:t xml:space="preserve"> and access</w:t>
      </w:r>
      <w:r w:rsidRPr="00257174">
        <w:rPr>
          <w:sz w:val="16"/>
          <w:szCs w:val="16"/>
          <w:lang w:val="en-GB"/>
        </w:rPr>
        <w:t xml:space="preserve"> to potential investors </w:t>
      </w:r>
    </w:p>
    <w:p w14:paraId="07151263" w14:textId="40F114CC" w:rsidR="00B9430E" w:rsidRPr="00257174" w:rsidRDefault="00B9430E" w:rsidP="00C6049A">
      <w:pPr>
        <w:pStyle w:val="Prrafodelista"/>
        <w:spacing w:after="0"/>
        <w:rPr>
          <w:sz w:val="16"/>
          <w:szCs w:val="16"/>
          <w:lang w:val="en-GB"/>
        </w:rPr>
      </w:pPr>
      <w:r w:rsidRPr="00257174">
        <w:rPr>
          <w:sz w:val="16"/>
          <w:szCs w:val="16"/>
          <w:lang w:val="en-GB"/>
        </w:rPr>
        <w:t xml:space="preserve">• Support in identification of guarantors </w:t>
      </w:r>
      <w:r w:rsidR="00206806" w:rsidRPr="00257174">
        <w:rPr>
          <w:sz w:val="16"/>
          <w:szCs w:val="16"/>
          <w:lang w:val="en-GB"/>
        </w:rPr>
        <w:t>or risk-sharing mechanisms.</w:t>
      </w:r>
      <w:r w:rsidRPr="00257174">
        <w:rPr>
          <w:sz w:val="16"/>
          <w:szCs w:val="16"/>
          <w:lang w:val="en-GB"/>
        </w:rPr>
        <w:t xml:space="preserve"> </w:t>
      </w:r>
    </w:p>
    <w:p w14:paraId="3E5F0CB1" w14:textId="77777777" w:rsidR="00302C8C" w:rsidRDefault="00302C8C" w:rsidP="00B9430E">
      <w:pPr>
        <w:pStyle w:val="Prrafodelista"/>
        <w:rPr>
          <w:sz w:val="16"/>
          <w:szCs w:val="16"/>
          <w:lang w:val="en-GB"/>
        </w:rPr>
      </w:pPr>
    </w:p>
    <w:p w14:paraId="65A44AB6" w14:textId="77777777" w:rsidR="00302C8C" w:rsidRDefault="00302C8C" w:rsidP="00B9430E">
      <w:pPr>
        <w:pStyle w:val="Prrafodelista"/>
        <w:rPr>
          <w:sz w:val="16"/>
          <w:szCs w:val="16"/>
          <w:lang w:val="en-GB"/>
        </w:rPr>
      </w:pPr>
    </w:p>
    <w:p w14:paraId="45FB3B4F" w14:textId="07D3D48A" w:rsidR="00302C8C" w:rsidRPr="00257174" w:rsidRDefault="00302C8C" w:rsidP="00302C8C">
      <w:pPr>
        <w:pStyle w:val="Prrafodelista"/>
        <w:numPr>
          <w:ilvl w:val="0"/>
          <w:numId w:val="2"/>
        </w:numPr>
        <w:ind w:left="0" w:hanging="142"/>
        <w:rPr>
          <w:b/>
          <w:bCs/>
          <w:sz w:val="16"/>
          <w:szCs w:val="16"/>
          <w:lang w:val="en-GB"/>
        </w:rPr>
      </w:pPr>
      <w:r w:rsidRPr="00257174">
        <w:rPr>
          <w:b/>
          <w:bCs/>
          <w:sz w:val="16"/>
          <w:szCs w:val="16"/>
          <w:lang w:val="en-GB"/>
        </w:rPr>
        <w:t>PARAMETERS OF THE COLLABORATION</w:t>
      </w:r>
    </w:p>
    <w:p w14:paraId="3F642E62" w14:textId="77777777" w:rsidR="00D25AB3" w:rsidRDefault="00D25AB3" w:rsidP="00D25AB3">
      <w:pPr>
        <w:pStyle w:val="Prrafodelista"/>
        <w:ind w:left="0"/>
        <w:rPr>
          <w:sz w:val="16"/>
          <w:szCs w:val="16"/>
          <w:lang w:val="en-GB"/>
        </w:rPr>
      </w:pPr>
    </w:p>
    <w:p w14:paraId="734BCAA0" w14:textId="77777777" w:rsidR="00D25AB3" w:rsidRPr="00D25AB3" w:rsidRDefault="00D25AB3" w:rsidP="00D25AB3">
      <w:pPr>
        <w:pStyle w:val="Prrafodelista"/>
        <w:ind w:left="0"/>
        <w:rPr>
          <w:sz w:val="16"/>
          <w:szCs w:val="16"/>
          <w:lang w:val="en-GB"/>
        </w:rPr>
      </w:pPr>
      <w:r w:rsidRPr="00D25AB3">
        <w:rPr>
          <w:b/>
          <w:bCs/>
          <w:sz w:val="16"/>
          <w:szCs w:val="16"/>
          <w:lang w:val="en-GB"/>
        </w:rPr>
        <w:t xml:space="preserve">Confidentiality </w:t>
      </w:r>
    </w:p>
    <w:p w14:paraId="3DA96000" w14:textId="77777777" w:rsidR="00D25AB3" w:rsidRDefault="00D25AB3" w:rsidP="00D25AB3">
      <w:pPr>
        <w:pStyle w:val="Prrafodelista"/>
        <w:ind w:left="0"/>
        <w:rPr>
          <w:sz w:val="16"/>
          <w:szCs w:val="16"/>
          <w:lang w:val="en-GB"/>
        </w:rPr>
      </w:pPr>
      <w:r w:rsidRPr="00D25AB3">
        <w:rPr>
          <w:sz w:val="16"/>
          <w:szCs w:val="16"/>
          <w:lang w:val="en-GB"/>
        </w:rPr>
        <w:t xml:space="preserve">The data and information of entities supported under this collaboration will be kept anonymous, unless otherwise agreed by the entity. Investor pipelines and other sensitive investor/client information will also be kept confidential, unless otherwise agreed. </w:t>
      </w:r>
    </w:p>
    <w:p w14:paraId="0378F44E" w14:textId="77777777" w:rsidR="00B23A49" w:rsidRPr="00D25AB3" w:rsidRDefault="00B23A49" w:rsidP="00D25AB3">
      <w:pPr>
        <w:pStyle w:val="Prrafodelista"/>
        <w:ind w:left="0"/>
        <w:rPr>
          <w:sz w:val="16"/>
          <w:szCs w:val="16"/>
          <w:lang w:val="en-GB"/>
        </w:rPr>
      </w:pPr>
    </w:p>
    <w:p w14:paraId="25D4ADDA" w14:textId="77777777" w:rsidR="00D25AB3" w:rsidRPr="00D25AB3" w:rsidRDefault="00D25AB3" w:rsidP="00D25AB3">
      <w:pPr>
        <w:pStyle w:val="Prrafodelista"/>
        <w:ind w:left="0"/>
        <w:rPr>
          <w:sz w:val="16"/>
          <w:szCs w:val="16"/>
          <w:lang w:val="en-GB"/>
        </w:rPr>
      </w:pPr>
      <w:r w:rsidRPr="00D25AB3">
        <w:rPr>
          <w:b/>
          <w:bCs/>
          <w:sz w:val="16"/>
          <w:szCs w:val="16"/>
          <w:lang w:val="en-GB"/>
        </w:rPr>
        <w:t xml:space="preserve">Team Support </w:t>
      </w:r>
    </w:p>
    <w:p w14:paraId="23235041" w14:textId="48F1AC1A" w:rsidR="00B23A49" w:rsidRDefault="00D25AB3" w:rsidP="00D25AB3">
      <w:pPr>
        <w:pStyle w:val="Prrafodelista"/>
        <w:ind w:left="0"/>
        <w:rPr>
          <w:sz w:val="16"/>
          <w:szCs w:val="16"/>
          <w:lang w:val="en-GB"/>
        </w:rPr>
      </w:pPr>
      <w:r w:rsidRPr="00D25AB3">
        <w:rPr>
          <w:sz w:val="16"/>
          <w:szCs w:val="16"/>
          <w:lang w:val="en-GB"/>
        </w:rPr>
        <w:t xml:space="preserve">This initiative is </w:t>
      </w:r>
      <w:r w:rsidR="00D75C18">
        <w:rPr>
          <w:sz w:val="16"/>
          <w:szCs w:val="16"/>
          <w:lang w:val="en-GB"/>
        </w:rPr>
        <w:t xml:space="preserve">led by the Blue Bond </w:t>
      </w:r>
      <w:r w:rsidR="0065396F">
        <w:rPr>
          <w:sz w:val="16"/>
          <w:szCs w:val="16"/>
          <w:lang w:val="en-GB"/>
        </w:rPr>
        <w:t>Accelerator,</w:t>
      </w:r>
      <w:r w:rsidR="00D75C18">
        <w:rPr>
          <w:sz w:val="16"/>
          <w:szCs w:val="16"/>
          <w:lang w:val="en-GB"/>
        </w:rPr>
        <w:t xml:space="preserve"> and it is supported by strategic partners including </w:t>
      </w:r>
      <w:r w:rsidR="00501F30" w:rsidRPr="00501F30">
        <w:rPr>
          <w:sz w:val="16"/>
          <w:szCs w:val="16"/>
          <w:lang w:val="en-GB"/>
        </w:rPr>
        <w:t xml:space="preserve">the Ocean Risk and Resilience Action Alliance (ORRAA), the UK Government, the Government of Canada, and the Paul M. Angell Family Foundation. The </w:t>
      </w:r>
      <w:r w:rsidR="00501F30">
        <w:rPr>
          <w:sz w:val="16"/>
          <w:szCs w:val="16"/>
          <w:lang w:val="en-GB"/>
        </w:rPr>
        <w:t>BBA</w:t>
      </w:r>
      <w:r w:rsidR="00501F30" w:rsidRPr="00501F30">
        <w:rPr>
          <w:sz w:val="16"/>
          <w:szCs w:val="16"/>
          <w:lang w:val="en-GB"/>
        </w:rPr>
        <w:t xml:space="preserve"> team </w:t>
      </w:r>
      <w:r w:rsidRPr="00D25AB3">
        <w:rPr>
          <w:sz w:val="16"/>
          <w:szCs w:val="16"/>
          <w:lang w:val="en-GB"/>
        </w:rPr>
        <w:t xml:space="preserve">will work closely with the issuer to </w:t>
      </w:r>
      <w:r w:rsidR="0026653B" w:rsidRPr="0026653B">
        <w:rPr>
          <w:sz w:val="16"/>
          <w:szCs w:val="16"/>
          <w:lang w:val="en-GB"/>
        </w:rPr>
        <w:t>ensure timely issuance of blue bonds in alignment with international standards. Support may include coordination on communications and marketing materials, tailored technical assistance, financial support, and guidance through any necessary regulatory approvals.</w:t>
      </w:r>
    </w:p>
    <w:p w14:paraId="22A6B62D" w14:textId="77777777" w:rsidR="006E1370" w:rsidRPr="00D25AB3" w:rsidRDefault="006E1370" w:rsidP="00D25AB3">
      <w:pPr>
        <w:pStyle w:val="Prrafodelista"/>
        <w:ind w:left="0"/>
        <w:rPr>
          <w:sz w:val="16"/>
          <w:szCs w:val="16"/>
          <w:lang w:val="en-GB"/>
        </w:rPr>
      </w:pPr>
    </w:p>
    <w:p w14:paraId="0575032E" w14:textId="77777777" w:rsidR="00D25AB3" w:rsidRPr="00D25AB3" w:rsidRDefault="00D25AB3" w:rsidP="00D25AB3">
      <w:pPr>
        <w:pStyle w:val="Prrafodelista"/>
        <w:ind w:left="0"/>
        <w:rPr>
          <w:sz w:val="16"/>
          <w:szCs w:val="16"/>
          <w:lang w:val="en-GB"/>
        </w:rPr>
      </w:pPr>
      <w:r w:rsidRPr="00D25AB3">
        <w:rPr>
          <w:b/>
          <w:bCs/>
          <w:sz w:val="16"/>
          <w:szCs w:val="16"/>
          <w:lang w:val="en-GB"/>
        </w:rPr>
        <w:t xml:space="preserve">Activity Outcomes </w:t>
      </w:r>
    </w:p>
    <w:p w14:paraId="7136858F" w14:textId="533F93C1" w:rsidR="00FA334D" w:rsidRDefault="002A430C" w:rsidP="00D25AB3">
      <w:pPr>
        <w:pStyle w:val="Prrafodelista"/>
        <w:ind w:left="0"/>
        <w:rPr>
          <w:sz w:val="16"/>
          <w:szCs w:val="16"/>
          <w:lang w:val="en-GB"/>
        </w:rPr>
      </w:pPr>
      <w:r w:rsidRPr="002A430C">
        <w:rPr>
          <w:sz w:val="16"/>
          <w:szCs w:val="16"/>
          <w:lang w:val="en-GB"/>
        </w:rPr>
        <w:t>Based on the support received by issuers, the BBA and its partners may invite the issuer to participate in relevant events, workshops or to capture best practices as part of case studies to showcase the partner’s issuance. Climate related data collected may be captured as results where required.</w:t>
      </w:r>
    </w:p>
    <w:p w14:paraId="0511E5A9" w14:textId="77777777" w:rsidR="002A430C" w:rsidRPr="002A430C" w:rsidRDefault="002A430C" w:rsidP="00D25AB3">
      <w:pPr>
        <w:pStyle w:val="Prrafodelista"/>
        <w:ind w:left="0"/>
        <w:rPr>
          <w:sz w:val="16"/>
          <w:szCs w:val="16"/>
          <w:lang w:val="en-GB"/>
        </w:rPr>
      </w:pPr>
    </w:p>
    <w:p w14:paraId="2E0B89FA" w14:textId="1C43A46C" w:rsidR="00FA334D" w:rsidRPr="00257174" w:rsidRDefault="00FA334D" w:rsidP="00FA334D">
      <w:pPr>
        <w:pStyle w:val="Prrafodelista"/>
        <w:numPr>
          <w:ilvl w:val="0"/>
          <w:numId w:val="2"/>
        </w:numPr>
        <w:ind w:left="0" w:hanging="142"/>
        <w:rPr>
          <w:b/>
          <w:bCs/>
          <w:sz w:val="16"/>
          <w:szCs w:val="16"/>
          <w:lang w:val="en-GB"/>
        </w:rPr>
      </w:pPr>
      <w:r w:rsidRPr="00257174">
        <w:rPr>
          <w:b/>
          <w:bCs/>
          <w:sz w:val="16"/>
          <w:szCs w:val="16"/>
          <w:lang w:val="en-GB"/>
        </w:rPr>
        <w:t>ELIGIBILITY REQUIREMENTS AND EVALUATION CRITERIA</w:t>
      </w:r>
    </w:p>
    <w:p w14:paraId="3B287860" w14:textId="641506DD" w:rsidR="00FA334D" w:rsidRDefault="00A46D8C" w:rsidP="00FA334D">
      <w:pPr>
        <w:rPr>
          <w:sz w:val="16"/>
          <w:szCs w:val="16"/>
          <w:lang w:val="en-GB"/>
        </w:rPr>
      </w:pPr>
      <w:r>
        <w:rPr>
          <w:sz w:val="16"/>
          <w:szCs w:val="16"/>
          <w:lang w:val="en-GB"/>
        </w:rPr>
        <w:t xml:space="preserve">In alignment with </w:t>
      </w:r>
      <w:r w:rsidR="006E12B5">
        <w:rPr>
          <w:sz w:val="16"/>
          <w:szCs w:val="16"/>
          <w:lang w:val="en-GB"/>
        </w:rPr>
        <w:t>b</w:t>
      </w:r>
      <w:r>
        <w:rPr>
          <w:sz w:val="16"/>
          <w:szCs w:val="16"/>
          <w:lang w:val="en-GB"/>
        </w:rPr>
        <w:t>lue bonds standards</w:t>
      </w:r>
      <w:r w:rsidR="002A430C">
        <w:rPr>
          <w:sz w:val="16"/>
          <w:szCs w:val="16"/>
          <w:lang w:val="en-GB"/>
        </w:rPr>
        <w:t xml:space="preserve"> </w:t>
      </w:r>
      <w:r w:rsidR="00660E1E">
        <w:rPr>
          <w:sz w:val="16"/>
          <w:szCs w:val="16"/>
          <w:lang w:val="en-GB"/>
        </w:rPr>
        <w:t>(</w:t>
      </w:r>
      <w:r w:rsidR="00660E1E" w:rsidRPr="002A430C">
        <w:rPr>
          <w:sz w:val="16"/>
          <w:szCs w:val="16"/>
          <w:lang w:val="en-GB"/>
        </w:rPr>
        <w:t>i.e.</w:t>
      </w:r>
      <w:r w:rsidR="002A430C" w:rsidRPr="002A430C">
        <w:rPr>
          <w:sz w:val="16"/>
          <w:szCs w:val="16"/>
          <w:lang w:val="en-GB"/>
        </w:rPr>
        <w:t xml:space="preserve"> Practi</w:t>
      </w:r>
      <w:r w:rsidR="002A430C">
        <w:rPr>
          <w:sz w:val="16"/>
          <w:szCs w:val="16"/>
          <w:lang w:val="en-GB"/>
        </w:rPr>
        <w:t>ti</w:t>
      </w:r>
      <w:r w:rsidR="002A430C" w:rsidRPr="002A430C">
        <w:rPr>
          <w:sz w:val="16"/>
          <w:szCs w:val="16"/>
          <w:lang w:val="en-GB"/>
        </w:rPr>
        <w:t>o</w:t>
      </w:r>
      <w:r w:rsidR="002A430C">
        <w:rPr>
          <w:sz w:val="16"/>
          <w:szCs w:val="16"/>
          <w:lang w:val="en-GB"/>
        </w:rPr>
        <w:t>ners</w:t>
      </w:r>
      <w:r w:rsidR="002A430C" w:rsidRPr="002A430C">
        <w:rPr>
          <w:sz w:val="16"/>
          <w:szCs w:val="16"/>
          <w:lang w:val="en-GB"/>
        </w:rPr>
        <w:t xml:space="preserve"> guide for blue bond (ICMA 2023))</w:t>
      </w:r>
      <w:r>
        <w:rPr>
          <w:sz w:val="16"/>
          <w:szCs w:val="16"/>
          <w:lang w:val="en-GB"/>
        </w:rPr>
        <w:t xml:space="preserve">, it is required that the proceeds are specifically utilized for specific </w:t>
      </w:r>
      <w:r w:rsidR="00F91E9D" w:rsidRPr="00F91E9D">
        <w:rPr>
          <w:sz w:val="16"/>
          <w:szCs w:val="16"/>
          <w:lang w:val="en-GB"/>
        </w:rPr>
        <w:t>that deliver measurable ocean-positive outcomes. These may include</w:t>
      </w:r>
      <w:r w:rsidR="007F4695">
        <w:rPr>
          <w:sz w:val="16"/>
          <w:szCs w:val="16"/>
          <w:lang w:val="en-GB"/>
        </w:rPr>
        <w:t xml:space="preserve">, </w:t>
      </w:r>
      <w:r w:rsidR="00F91E9D" w:rsidRPr="00F91E9D">
        <w:rPr>
          <w:sz w:val="16"/>
          <w:szCs w:val="16"/>
          <w:lang w:val="en-GB"/>
        </w:rPr>
        <w:t>but are not limited to</w:t>
      </w:r>
      <w:r w:rsidR="007F4695">
        <w:rPr>
          <w:sz w:val="16"/>
          <w:szCs w:val="16"/>
          <w:lang w:val="en-GB"/>
        </w:rPr>
        <w:t xml:space="preserve">, Ocean conservation, Marine Protected Areas, NBS in marine areas (mangroves, seagrass, saltmarshes), Sustainable Seafood, Circular Economy and Blue Technology, Sustainable Blue Infrastructure, Ocean-Based Renewable Energy, Ridge to Reef. </w:t>
      </w:r>
    </w:p>
    <w:p w14:paraId="5227AAF5" w14:textId="36E4B07B" w:rsidR="00D974F5" w:rsidRDefault="00D974F5" w:rsidP="00FA334D">
      <w:pPr>
        <w:rPr>
          <w:b/>
          <w:bCs/>
          <w:sz w:val="16"/>
          <w:szCs w:val="16"/>
          <w:lang w:val="en-GB"/>
        </w:rPr>
      </w:pPr>
      <w:r>
        <w:rPr>
          <w:b/>
          <w:bCs/>
          <w:sz w:val="16"/>
          <w:szCs w:val="16"/>
          <w:lang w:val="en-GB"/>
        </w:rPr>
        <w:t xml:space="preserve">Please ensure all of the following documents are submitted with your application: </w:t>
      </w:r>
    </w:p>
    <w:p w14:paraId="40B1E98B" w14:textId="77777777" w:rsidR="00085D47" w:rsidRPr="00085D47" w:rsidRDefault="00085D47" w:rsidP="00085D47">
      <w:pPr>
        <w:pStyle w:val="NormalWeb"/>
        <w:numPr>
          <w:ilvl w:val="0"/>
          <w:numId w:val="6"/>
        </w:numPr>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r w:rsidRPr="00085D47">
        <w:rPr>
          <w:rFonts w:asciiTheme="minorHAnsi" w:eastAsiaTheme="minorHAnsi" w:hAnsiTheme="minorHAnsi" w:cstheme="minorBidi"/>
          <w:kern w:val="2"/>
          <w:sz w:val="16"/>
          <w:szCs w:val="16"/>
          <w:lang w:val="en-GB" w:eastAsia="en-US"/>
          <w14:ligatures w14:val="standardContextual"/>
        </w:rPr>
        <w:t>Link of the proof of organization’s legal registration in your home country</w:t>
      </w:r>
    </w:p>
    <w:p w14:paraId="045940E8" w14:textId="26704E85" w:rsidR="00085D47" w:rsidRPr="00085D47" w:rsidRDefault="00085D47" w:rsidP="00085D47">
      <w:pPr>
        <w:pStyle w:val="NormalWeb"/>
        <w:numPr>
          <w:ilvl w:val="0"/>
          <w:numId w:val="6"/>
        </w:numPr>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r w:rsidRPr="00085D47">
        <w:rPr>
          <w:rFonts w:asciiTheme="minorHAnsi" w:eastAsiaTheme="minorHAnsi" w:hAnsiTheme="minorHAnsi" w:cstheme="minorBidi"/>
          <w:kern w:val="2"/>
          <w:sz w:val="16"/>
          <w:szCs w:val="16"/>
          <w:lang w:val="en-GB" w:eastAsia="en-US"/>
          <w14:ligatures w14:val="standardContextual"/>
        </w:rPr>
        <w:t>Link to the most recently published audited financial statements (in English)</w:t>
      </w:r>
    </w:p>
    <w:p w14:paraId="794C08A9" w14:textId="00F05BA8" w:rsidR="00302C8C" w:rsidRDefault="00085D47" w:rsidP="00302C8C">
      <w:pPr>
        <w:pStyle w:val="NormalWeb"/>
        <w:numPr>
          <w:ilvl w:val="0"/>
          <w:numId w:val="6"/>
        </w:numPr>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r w:rsidRPr="00085D47">
        <w:rPr>
          <w:rFonts w:asciiTheme="minorHAnsi" w:eastAsiaTheme="minorHAnsi" w:hAnsiTheme="minorHAnsi" w:cstheme="minorBidi"/>
          <w:kern w:val="2"/>
          <w:sz w:val="16"/>
          <w:szCs w:val="16"/>
          <w:lang w:val="en-GB" w:eastAsia="en-US"/>
          <w14:ligatures w14:val="standardContextual"/>
        </w:rPr>
        <w:t>The Submission Confirmation (Template provided during the application process). </w:t>
      </w:r>
    </w:p>
    <w:p w14:paraId="1FC641C4" w14:textId="76AC9B81" w:rsidR="00257174" w:rsidRDefault="00DB0E81" w:rsidP="00DB0E81">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r w:rsidRPr="00DB0E81">
        <w:rPr>
          <w:rFonts w:asciiTheme="minorHAnsi" w:eastAsiaTheme="minorHAnsi" w:hAnsiTheme="minorHAnsi" w:cstheme="minorBidi"/>
          <w:kern w:val="2"/>
          <w:sz w:val="16"/>
          <w:szCs w:val="16"/>
          <w:lang w:val="en-GB" w:eastAsia="en-US"/>
          <w14:ligatures w14:val="standardContextual"/>
        </w:rPr>
        <w:t>Additional documents or links to documents may be included at the applicant’s discretion.</w:t>
      </w:r>
    </w:p>
    <w:p w14:paraId="5893062D" w14:textId="77777777" w:rsidR="00257174" w:rsidRDefault="003C57EF" w:rsidP="00257174">
      <w:pPr>
        <w:pStyle w:val="NormalWeb"/>
        <w:shd w:val="clear" w:color="auto" w:fill="FFFFFF"/>
        <w:spacing w:before="0" w:beforeAutospacing="0" w:after="0" w:afterAutospacing="0"/>
        <w:rPr>
          <w:rFonts w:asciiTheme="minorHAnsi" w:eastAsiaTheme="minorHAnsi" w:hAnsiTheme="minorHAnsi" w:cstheme="minorBidi"/>
          <w:b/>
          <w:bCs/>
          <w:kern w:val="2"/>
          <w:sz w:val="16"/>
          <w:szCs w:val="16"/>
          <w:lang w:val="en-GB" w:eastAsia="en-US"/>
          <w14:ligatures w14:val="standardContextual"/>
        </w:rPr>
      </w:pPr>
      <w:r w:rsidRPr="003C57EF">
        <w:rPr>
          <w:rFonts w:asciiTheme="minorHAnsi" w:eastAsiaTheme="minorHAnsi" w:hAnsiTheme="minorHAnsi" w:cstheme="minorBidi"/>
          <w:b/>
          <w:bCs/>
          <w:kern w:val="2"/>
          <w:sz w:val="16"/>
          <w:szCs w:val="16"/>
          <w:lang w:val="en-GB" w:eastAsia="en-US"/>
          <w14:ligatures w14:val="standardContextual"/>
        </w:rPr>
        <w:t xml:space="preserve">Submission of the Application </w:t>
      </w:r>
    </w:p>
    <w:p w14:paraId="0DC67128" w14:textId="0C19E5D6" w:rsidR="006C679C" w:rsidRDefault="003C57EF" w:rsidP="00257174">
      <w:pPr>
        <w:pStyle w:val="NormalWeb"/>
        <w:shd w:val="clear" w:color="auto" w:fill="FFFFFF"/>
        <w:spacing w:before="0" w:beforeAutospacing="0" w:after="0" w:afterAutospacing="0"/>
        <w:rPr>
          <w:rFonts w:asciiTheme="minorHAnsi" w:eastAsiaTheme="minorHAnsi" w:hAnsiTheme="minorHAnsi" w:cstheme="minorBidi"/>
          <w:kern w:val="2"/>
          <w:sz w:val="16"/>
          <w:szCs w:val="16"/>
          <w:lang w:val="en-GB" w:eastAsia="en-US"/>
          <w14:ligatures w14:val="standardContextual"/>
        </w:rPr>
      </w:pPr>
      <w:r w:rsidRPr="003C57EF">
        <w:rPr>
          <w:rFonts w:asciiTheme="minorHAnsi" w:eastAsiaTheme="minorHAnsi" w:hAnsiTheme="minorHAnsi" w:cstheme="minorBidi"/>
          <w:kern w:val="2"/>
          <w:sz w:val="16"/>
          <w:szCs w:val="16"/>
          <w:lang w:val="en-GB" w:eastAsia="en-US"/>
          <w14:ligatures w14:val="standardContextual"/>
        </w:rPr>
        <w:t xml:space="preserve">To submit the final application, please </w:t>
      </w:r>
      <w:r w:rsidR="00200AB8">
        <w:rPr>
          <w:rFonts w:asciiTheme="minorHAnsi" w:eastAsiaTheme="minorHAnsi" w:hAnsiTheme="minorHAnsi" w:cstheme="minorBidi"/>
          <w:kern w:val="2"/>
          <w:sz w:val="16"/>
          <w:szCs w:val="16"/>
          <w:lang w:val="en-GB" w:eastAsia="en-US"/>
          <w14:ligatures w14:val="standardContextual"/>
        </w:rPr>
        <w:t xml:space="preserve">apply via our website: </w:t>
      </w:r>
      <w:hyperlink r:id="rId12" w:history="1">
        <w:r w:rsidR="006C679C" w:rsidRPr="00720877">
          <w:rPr>
            <w:rStyle w:val="Hipervnculo"/>
            <w:rFonts w:asciiTheme="minorHAnsi" w:eastAsiaTheme="minorHAnsi" w:hAnsiTheme="minorHAnsi" w:cstheme="minorBidi"/>
            <w:kern w:val="2"/>
            <w:sz w:val="16"/>
            <w:szCs w:val="16"/>
            <w:lang w:val="en-GB" w:eastAsia="en-US"/>
            <w14:ligatures w14:val="standardContextual"/>
          </w:rPr>
          <w:t>https://bluebondaccelerator.org/issuebluebonds/</w:t>
        </w:r>
      </w:hyperlink>
    </w:p>
    <w:p w14:paraId="3ECA5A11" w14:textId="7998A404" w:rsidR="006C679C" w:rsidRPr="002A430C" w:rsidRDefault="006C679C" w:rsidP="00257174">
      <w:pPr>
        <w:pStyle w:val="NormalWeb"/>
        <w:shd w:val="clear" w:color="auto" w:fill="FFFFFF"/>
        <w:spacing w:before="0" w:beforeAutospacing="0" w:after="0" w:after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 xml:space="preserve">For any queries, contact: </w:t>
      </w:r>
      <w:hyperlink r:id="rId13" w:history="1">
        <w:r w:rsidR="00BE6E44" w:rsidRPr="00720877">
          <w:rPr>
            <w:rStyle w:val="Hipervnculo"/>
            <w:rFonts w:asciiTheme="minorHAnsi" w:eastAsiaTheme="minorHAnsi" w:hAnsiTheme="minorHAnsi" w:cstheme="minorBidi"/>
            <w:kern w:val="2"/>
            <w:sz w:val="16"/>
            <w:szCs w:val="16"/>
            <w:lang w:val="en-GB" w:eastAsia="en-US"/>
            <w14:ligatures w14:val="standardContextual"/>
          </w:rPr>
          <w:t>info@bluebondaccelerator.org</w:t>
        </w:r>
      </w:hyperlink>
      <w:r w:rsidR="00BE6E44">
        <w:rPr>
          <w:rFonts w:asciiTheme="minorHAnsi" w:eastAsiaTheme="minorHAnsi" w:hAnsiTheme="minorHAnsi" w:cstheme="minorBidi"/>
          <w:kern w:val="2"/>
          <w:sz w:val="16"/>
          <w:szCs w:val="16"/>
          <w:lang w:val="en-GB" w:eastAsia="en-US"/>
          <w14:ligatures w14:val="standardContextual"/>
        </w:rPr>
        <w:t xml:space="preserve">, </w:t>
      </w:r>
      <w:hyperlink r:id="rId14" w:history="1">
        <w:r w:rsidR="00BE6E44" w:rsidRPr="00720877">
          <w:rPr>
            <w:rStyle w:val="Hipervnculo"/>
            <w:rFonts w:asciiTheme="minorHAnsi" w:eastAsiaTheme="minorHAnsi" w:hAnsiTheme="minorHAnsi" w:cstheme="minorBidi"/>
            <w:kern w:val="2"/>
            <w:sz w:val="16"/>
            <w:szCs w:val="16"/>
            <w:lang w:val="en-GB" w:eastAsia="en-US"/>
            <w14:ligatures w14:val="standardContextual"/>
          </w:rPr>
          <w:t>Karthik.iyer@bluebondaccelerator.org</w:t>
        </w:r>
      </w:hyperlink>
      <w:r w:rsidR="00BE6E44">
        <w:rPr>
          <w:rFonts w:asciiTheme="minorHAnsi" w:eastAsiaTheme="minorHAnsi" w:hAnsiTheme="minorHAnsi" w:cstheme="minorBidi"/>
          <w:kern w:val="2"/>
          <w:sz w:val="16"/>
          <w:szCs w:val="16"/>
          <w:lang w:val="en-GB" w:eastAsia="en-US"/>
          <w14:ligatures w14:val="standardContextual"/>
        </w:rPr>
        <w:t>,</w:t>
      </w:r>
      <w:r w:rsidR="002A430C">
        <w:rPr>
          <w:rFonts w:asciiTheme="minorHAnsi" w:eastAsiaTheme="minorHAnsi" w:hAnsiTheme="minorHAnsi" w:cstheme="minorBidi"/>
          <w:kern w:val="2"/>
          <w:sz w:val="16"/>
          <w:szCs w:val="16"/>
          <w:lang w:val="en-GB" w:eastAsia="en-US"/>
          <w14:ligatures w14:val="standardContextual"/>
        </w:rPr>
        <w:t xml:space="preserve"> </w:t>
      </w:r>
      <w:hyperlink r:id="rId15" w:history="1">
        <w:r w:rsidR="002A430C" w:rsidRPr="0011765E">
          <w:rPr>
            <w:rStyle w:val="Hipervnculo"/>
            <w:rFonts w:asciiTheme="minorHAnsi" w:eastAsiaTheme="minorHAnsi" w:hAnsiTheme="minorHAnsi" w:cstheme="minorBidi"/>
            <w:kern w:val="2"/>
            <w:sz w:val="16"/>
            <w:szCs w:val="16"/>
            <w:lang w:val="en-GB" w:eastAsia="en-US"/>
            <w14:ligatures w14:val="standardContextual"/>
          </w:rPr>
          <w:t>juliette.macresy@bluebondaccelerator.org</w:t>
        </w:r>
      </w:hyperlink>
      <w:r w:rsidR="002A430C">
        <w:rPr>
          <w:rFonts w:asciiTheme="minorHAnsi" w:eastAsiaTheme="minorHAnsi" w:hAnsiTheme="minorHAnsi" w:cstheme="minorBidi"/>
          <w:kern w:val="2"/>
          <w:sz w:val="16"/>
          <w:szCs w:val="16"/>
          <w:lang w:val="en-GB" w:eastAsia="en-US"/>
          <w14:ligatures w14:val="standardContextual"/>
        </w:rPr>
        <w:t xml:space="preserve">. </w:t>
      </w:r>
    </w:p>
    <w:p w14:paraId="7A87632B" w14:textId="77777777" w:rsidR="00660E1E" w:rsidRDefault="00660E1E" w:rsidP="003C57EF">
      <w:pPr>
        <w:pStyle w:val="NormalWeb"/>
        <w:shd w:val="clear" w:color="auto" w:fill="FFFFFF"/>
        <w:rPr>
          <w:rFonts w:asciiTheme="minorHAnsi" w:eastAsiaTheme="minorHAnsi" w:hAnsiTheme="minorHAnsi" w:cstheme="minorBidi"/>
          <w:b/>
          <w:bCs/>
          <w:kern w:val="2"/>
          <w:sz w:val="16"/>
          <w:szCs w:val="16"/>
          <w:lang w:val="en-GB" w:eastAsia="en-US"/>
          <w14:ligatures w14:val="standardContextual"/>
        </w:rPr>
      </w:pPr>
    </w:p>
    <w:p w14:paraId="573E513B" w14:textId="77777777" w:rsidR="00660E1E" w:rsidRDefault="00660E1E" w:rsidP="003C57EF">
      <w:pPr>
        <w:pStyle w:val="NormalWeb"/>
        <w:shd w:val="clear" w:color="auto" w:fill="FFFFFF"/>
        <w:rPr>
          <w:rFonts w:asciiTheme="minorHAnsi" w:eastAsiaTheme="minorHAnsi" w:hAnsiTheme="minorHAnsi" w:cstheme="minorBidi"/>
          <w:b/>
          <w:bCs/>
          <w:kern w:val="2"/>
          <w:sz w:val="16"/>
          <w:szCs w:val="16"/>
          <w:lang w:val="en-GB" w:eastAsia="en-US"/>
          <w14:ligatures w14:val="standardContextual"/>
        </w:rPr>
      </w:pPr>
    </w:p>
    <w:p w14:paraId="19CB62AF" w14:textId="77777777" w:rsidR="00660E1E" w:rsidRDefault="00660E1E" w:rsidP="788CD1EF">
      <w:pPr>
        <w:pStyle w:val="NormalWeb"/>
        <w:shd w:val="clear" w:color="auto" w:fill="FFFFFF" w:themeFill="background1"/>
        <w:rPr>
          <w:rFonts w:asciiTheme="minorHAnsi" w:eastAsiaTheme="minorEastAsia" w:hAnsiTheme="minorHAnsi" w:cstheme="minorBidi"/>
          <w:b/>
          <w:bCs/>
          <w:kern w:val="2"/>
          <w:sz w:val="16"/>
          <w:szCs w:val="16"/>
          <w:lang w:val="en-GB" w:eastAsia="en-US"/>
          <w14:ligatures w14:val="standardContextual"/>
        </w:rPr>
      </w:pPr>
    </w:p>
    <w:p w14:paraId="77531D87" w14:textId="545A526D" w:rsidR="788CD1EF" w:rsidRDefault="788CD1EF" w:rsidP="788CD1EF">
      <w:pPr>
        <w:pStyle w:val="NormalWeb"/>
        <w:shd w:val="clear" w:color="auto" w:fill="FFFFFF" w:themeFill="background1"/>
        <w:rPr>
          <w:rFonts w:asciiTheme="minorHAnsi" w:eastAsiaTheme="minorEastAsia" w:hAnsiTheme="minorHAnsi" w:cstheme="minorBidi"/>
          <w:b/>
          <w:bCs/>
          <w:sz w:val="16"/>
          <w:szCs w:val="16"/>
          <w:lang w:val="en-GB" w:eastAsia="en-US"/>
        </w:rPr>
      </w:pPr>
    </w:p>
    <w:p w14:paraId="31BCB914" w14:textId="0FA2AA38" w:rsidR="788CD1EF" w:rsidRDefault="788CD1EF" w:rsidP="788CD1EF">
      <w:pPr>
        <w:pStyle w:val="NormalWeb"/>
        <w:shd w:val="clear" w:color="auto" w:fill="FFFFFF" w:themeFill="background1"/>
        <w:rPr>
          <w:rFonts w:asciiTheme="minorHAnsi" w:eastAsiaTheme="minorEastAsia" w:hAnsiTheme="minorHAnsi" w:cstheme="minorBidi"/>
          <w:b/>
          <w:bCs/>
          <w:sz w:val="16"/>
          <w:szCs w:val="16"/>
          <w:lang w:val="en-GB" w:eastAsia="en-US"/>
        </w:rPr>
      </w:pPr>
    </w:p>
    <w:p w14:paraId="5A6C6B85" w14:textId="3151DA1A" w:rsidR="003C57EF" w:rsidRDefault="003C57EF" w:rsidP="003C57EF">
      <w:pPr>
        <w:pStyle w:val="NormalWeb"/>
        <w:shd w:val="clear" w:color="auto" w:fill="FFFFFF"/>
        <w:rPr>
          <w:rFonts w:asciiTheme="minorHAnsi" w:eastAsiaTheme="minorHAnsi" w:hAnsiTheme="minorHAnsi" w:cstheme="minorBidi"/>
          <w:b/>
          <w:bCs/>
          <w:kern w:val="2"/>
          <w:sz w:val="16"/>
          <w:szCs w:val="16"/>
          <w:lang w:val="en-GB" w:eastAsia="en-US"/>
          <w14:ligatures w14:val="standardContextual"/>
        </w:rPr>
      </w:pPr>
      <w:r w:rsidRPr="003C57EF">
        <w:rPr>
          <w:rFonts w:asciiTheme="minorHAnsi" w:eastAsiaTheme="minorHAnsi" w:hAnsiTheme="minorHAnsi" w:cstheme="minorBidi"/>
          <w:b/>
          <w:bCs/>
          <w:kern w:val="2"/>
          <w:sz w:val="16"/>
          <w:szCs w:val="16"/>
          <w:lang w:val="en-GB" w:eastAsia="en-US"/>
          <w14:ligatures w14:val="standardContextual"/>
        </w:rPr>
        <w:lastRenderedPageBreak/>
        <w:t xml:space="preserve">Evaluation and Scoring Criteria </w:t>
      </w:r>
    </w:p>
    <w:p w14:paraId="5871AD00" w14:textId="1C06BAC9" w:rsidR="0092466F" w:rsidRPr="003C57EF" w:rsidRDefault="0092466F" w:rsidP="004414B4">
      <w:pPr>
        <w:pStyle w:val="NormalWeb"/>
        <w:shd w:val="clear" w:color="auto" w:fill="FFFFFF"/>
        <w:spacing w:after="0" w:afterAutospacing="0"/>
        <w:jc w:val="center"/>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Technical Proposal: 100 Points</w:t>
      </w:r>
    </w:p>
    <w:tbl>
      <w:tblPr>
        <w:tblStyle w:val="Tablaconcuadrcula"/>
        <w:tblW w:w="0" w:type="auto"/>
        <w:tblLook w:val="04A0" w:firstRow="1" w:lastRow="0" w:firstColumn="1" w:lastColumn="0" w:noHBand="0" w:noVBand="1"/>
      </w:tblPr>
      <w:tblGrid>
        <w:gridCol w:w="421"/>
        <w:gridCol w:w="5525"/>
        <w:gridCol w:w="2973"/>
      </w:tblGrid>
      <w:tr w:rsidR="004414B4" w14:paraId="415F39E6" w14:textId="77777777" w:rsidTr="004B4F61">
        <w:tc>
          <w:tcPr>
            <w:tcW w:w="5946" w:type="dxa"/>
            <w:gridSpan w:val="2"/>
          </w:tcPr>
          <w:p w14:paraId="27B6BF3B" w14:textId="6F055AEB" w:rsidR="004414B4" w:rsidRPr="004414B4" w:rsidRDefault="004414B4" w:rsidP="00DB0E81">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Organization and Partner Information</w:t>
            </w:r>
          </w:p>
        </w:tc>
        <w:tc>
          <w:tcPr>
            <w:tcW w:w="2973" w:type="dxa"/>
          </w:tcPr>
          <w:p w14:paraId="28D2FDCC" w14:textId="7FD87F11" w:rsidR="004414B4" w:rsidRPr="004414B4" w:rsidRDefault="004414B4" w:rsidP="00DB0E81">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Points Obtainable</w:t>
            </w:r>
          </w:p>
        </w:tc>
      </w:tr>
      <w:tr w:rsidR="004414B4" w14:paraId="6166B9E0" w14:textId="77777777" w:rsidTr="004414B4">
        <w:tc>
          <w:tcPr>
            <w:tcW w:w="421" w:type="dxa"/>
          </w:tcPr>
          <w:p w14:paraId="7D3D0EA2" w14:textId="0BB6FDE0"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w:t>
            </w:r>
          </w:p>
        </w:tc>
        <w:tc>
          <w:tcPr>
            <w:tcW w:w="5525" w:type="dxa"/>
          </w:tcPr>
          <w:p w14:paraId="2A675424" w14:textId="7944D4B5"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sidRPr="00391203">
              <w:rPr>
                <w:rFonts w:asciiTheme="minorHAnsi" w:eastAsiaTheme="minorHAnsi" w:hAnsiTheme="minorHAnsi" w:cstheme="minorBidi"/>
                <w:kern w:val="2"/>
                <w:sz w:val="16"/>
                <w:szCs w:val="16"/>
                <w:lang w:val="en-GB" w:eastAsia="en-US"/>
                <w14:ligatures w14:val="standardContextual"/>
              </w:rPr>
              <w:t>Bond Information and Characteristics</w:t>
            </w:r>
          </w:p>
        </w:tc>
        <w:tc>
          <w:tcPr>
            <w:tcW w:w="2973" w:type="dxa"/>
          </w:tcPr>
          <w:p w14:paraId="5913A325" w14:textId="555BCF16"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30</w:t>
            </w:r>
          </w:p>
        </w:tc>
      </w:tr>
      <w:tr w:rsidR="004414B4" w14:paraId="15272C3C" w14:textId="77777777" w:rsidTr="004414B4">
        <w:tc>
          <w:tcPr>
            <w:tcW w:w="421" w:type="dxa"/>
          </w:tcPr>
          <w:p w14:paraId="3CF5B4BF" w14:textId="6742049A"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w:t>
            </w:r>
          </w:p>
        </w:tc>
        <w:tc>
          <w:tcPr>
            <w:tcW w:w="5525" w:type="dxa"/>
          </w:tcPr>
          <w:p w14:paraId="3923CC38" w14:textId="255C9A21"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sidRPr="00391203">
              <w:rPr>
                <w:rFonts w:asciiTheme="minorHAnsi" w:eastAsiaTheme="minorHAnsi" w:hAnsiTheme="minorHAnsi" w:cstheme="minorBidi"/>
                <w:kern w:val="2"/>
                <w:sz w:val="16"/>
                <w:szCs w:val="16"/>
                <w:lang w:val="en-GB" w:eastAsia="en-US"/>
                <w14:ligatures w14:val="standardContextual"/>
              </w:rPr>
              <w:t>Narrative Technical Proposal</w:t>
            </w:r>
          </w:p>
        </w:tc>
        <w:tc>
          <w:tcPr>
            <w:tcW w:w="2973" w:type="dxa"/>
          </w:tcPr>
          <w:p w14:paraId="2D5E491A" w14:textId="6C6D8285" w:rsidR="004414B4" w:rsidRDefault="002A430C"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60</w:t>
            </w:r>
          </w:p>
        </w:tc>
      </w:tr>
      <w:tr w:rsidR="004414B4" w14:paraId="67CE5FD9" w14:textId="77777777" w:rsidTr="004414B4">
        <w:tc>
          <w:tcPr>
            <w:tcW w:w="421" w:type="dxa"/>
          </w:tcPr>
          <w:p w14:paraId="1AD8BFB5" w14:textId="188119F9"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3.</w:t>
            </w:r>
          </w:p>
        </w:tc>
        <w:tc>
          <w:tcPr>
            <w:tcW w:w="5525" w:type="dxa"/>
          </w:tcPr>
          <w:p w14:paraId="083F484B" w14:textId="7D4DB3B6" w:rsidR="004414B4" w:rsidRDefault="004414B4"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sidRPr="00391203">
              <w:rPr>
                <w:rFonts w:asciiTheme="minorHAnsi" w:eastAsiaTheme="minorHAnsi" w:hAnsiTheme="minorHAnsi" w:cstheme="minorBidi"/>
                <w:kern w:val="2"/>
                <w:sz w:val="16"/>
                <w:szCs w:val="16"/>
                <w:lang w:val="en-GB" w:eastAsia="en-US"/>
                <w14:ligatures w14:val="standardContextual"/>
              </w:rPr>
              <w:t>General Firm Information and Management Structure</w:t>
            </w:r>
          </w:p>
        </w:tc>
        <w:tc>
          <w:tcPr>
            <w:tcW w:w="2973" w:type="dxa"/>
          </w:tcPr>
          <w:p w14:paraId="7EC507EF" w14:textId="4AED5E3C" w:rsidR="004414B4" w:rsidRDefault="002A430C" w:rsidP="00DB0E81">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10</w:t>
            </w:r>
          </w:p>
        </w:tc>
      </w:tr>
      <w:tr w:rsidR="004414B4" w14:paraId="6BDD8973" w14:textId="77777777" w:rsidTr="004414B4">
        <w:tc>
          <w:tcPr>
            <w:tcW w:w="5946" w:type="dxa"/>
            <w:gridSpan w:val="2"/>
            <w:shd w:val="clear" w:color="auto" w:fill="E8E8E8" w:themeFill="background2"/>
          </w:tcPr>
          <w:p w14:paraId="7511D188" w14:textId="44223248" w:rsidR="004414B4" w:rsidRPr="004414B4" w:rsidRDefault="004414B4" w:rsidP="00DB0E81">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4414B4">
              <w:rPr>
                <w:rFonts w:asciiTheme="minorHAnsi" w:eastAsiaTheme="minorHAnsi" w:hAnsiTheme="minorHAnsi" w:cstheme="minorBidi"/>
                <w:b/>
                <w:bCs/>
                <w:kern w:val="2"/>
                <w:sz w:val="16"/>
                <w:szCs w:val="16"/>
                <w:lang w:val="en-GB" w:eastAsia="en-US"/>
                <w14:ligatures w14:val="standardContextual"/>
              </w:rPr>
              <w:t>Total</w:t>
            </w:r>
          </w:p>
        </w:tc>
        <w:tc>
          <w:tcPr>
            <w:tcW w:w="2973" w:type="dxa"/>
            <w:shd w:val="clear" w:color="auto" w:fill="E8E8E8" w:themeFill="background2"/>
          </w:tcPr>
          <w:p w14:paraId="47A04E02" w14:textId="6373CB3A" w:rsidR="004414B4" w:rsidRPr="004414B4" w:rsidRDefault="004414B4" w:rsidP="00DB0E81">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4414B4">
              <w:rPr>
                <w:rFonts w:asciiTheme="minorHAnsi" w:eastAsiaTheme="minorHAnsi" w:hAnsiTheme="minorHAnsi" w:cstheme="minorBidi"/>
                <w:b/>
                <w:bCs/>
                <w:kern w:val="2"/>
                <w:sz w:val="16"/>
                <w:szCs w:val="16"/>
                <w:lang w:val="en-GB" w:eastAsia="en-US"/>
                <w14:ligatures w14:val="standardContextual"/>
              </w:rPr>
              <w:t>100</w:t>
            </w:r>
          </w:p>
        </w:tc>
      </w:tr>
    </w:tbl>
    <w:p w14:paraId="003CB408" w14:textId="40208016" w:rsidR="00091C48" w:rsidRPr="003C57EF" w:rsidRDefault="00091C48" w:rsidP="00091C48">
      <w:pPr>
        <w:pStyle w:val="NormalWeb"/>
        <w:shd w:val="clear" w:color="auto" w:fill="FFFFFF"/>
        <w:spacing w:after="0" w:afterAutospacing="0"/>
        <w:rPr>
          <w:rFonts w:asciiTheme="minorHAnsi" w:eastAsiaTheme="minorHAnsi" w:hAnsiTheme="minorHAnsi" w:cstheme="minorBidi"/>
          <w:b/>
          <w:bCs/>
          <w:kern w:val="2"/>
          <w:sz w:val="16"/>
          <w:szCs w:val="16"/>
          <w:lang w:val="en-GB" w:eastAsia="en-US"/>
          <w14:ligatures w14:val="standardContextual"/>
        </w:rPr>
      </w:pPr>
    </w:p>
    <w:tbl>
      <w:tblPr>
        <w:tblStyle w:val="Tablaconcuadrcula"/>
        <w:tblW w:w="0" w:type="auto"/>
        <w:tblLook w:val="04A0" w:firstRow="1" w:lastRow="0" w:firstColumn="1" w:lastColumn="0" w:noHBand="0" w:noVBand="1"/>
      </w:tblPr>
      <w:tblGrid>
        <w:gridCol w:w="479"/>
        <w:gridCol w:w="5485"/>
        <w:gridCol w:w="2955"/>
      </w:tblGrid>
      <w:tr w:rsidR="00091C48" w14:paraId="0F6DC178" w14:textId="77777777" w:rsidTr="0033617C">
        <w:tc>
          <w:tcPr>
            <w:tcW w:w="5946" w:type="dxa"/>
            <w:gridSpan w:val="2"/>
          </w:tcPr>
          <w:p w14:paraId="33D342AA" w14:textId="597A15F7" w:rsidR="00091C48" w:rsidRPr="004414B4" w:rsidRDefault="00091C4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Bond Information and Characteristics</w:t>
            </w:r>
          </w:p>
        </w:tc>
        <w:tc>
          <w:tcPr>
            <w:tcW w:w="2973" w:type="dxa"/>
          </w:tcPr>
          <w:p w14:paraId="4AB15098" w14:textId="77777777" w:rsidR="00091C48" w:rsidRPr="004414B4" w:rsidRDefault="00091C4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Points Obtainable</w:t>
            </w:r>
          </w:p>
        </w:tc>
      </w:tr>
      <w:tr w:rsidR="00091C48" w14:paraId="18172E42" w14:textId="77777777" w:rsidTr="0033617C">
        <w:tc>
          <w:tcPr>
            <w:tcW w:w="421" w:type="dxa"/>
          </w:tcPr>
          <w:p w14:paraId="00A3E1CE" w14:textId="528FEA83" w:rsidR="00091C48" w:rsidRDefault="00091C48"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1.1</w:t>
            </w:r>
            <w:r w:rsidR="00600681">
              <w:rPr>
                <w:rFonts w:asciiTheme="minorHAnsi" w:eastAsiaTheme="minorHAnsi" w:hAnsiTheme="minorHAnsi" w:cstheme="minorBidi"/>
                <w:kern w:val="2"/>
                <w:sz w:val="16"/>
                <w:szCs w:val="16"/>
                <w:lang w:val="en-GB" w:eastAsia="en-US"/>
                <w14:ligatures w14:val="standardContextual"/>
              </w:rPr>
              <w:t>.</w:t>
            </w:r>
          </w:p>
        </w:tc>
        <w:tc>
          <w:tcPr>
            <w:tcW w:w="5525" w:type="dxa"/>
          </w:tcPr>
          <w:p w14:paraId="2A1A3AB5" w14:textId="7AF0D1F0" w:rsidR="00091C48" w:rsidRDefault="00A36555"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Appropriateness of issuance characteristic including timeline, size of issuance</w:t>
            </w:r>
            <w:r w:rsidR="002A430C">
              <w:rPr>
                <w:rFonts w:asciiTheme="minorHAnsi" w:eastAsiaTheme="minorHAnsi" w:hAnsiTheme="minorHAnsi" w:cstheme="minorBidi"/>
                <w:kern w:val="2"/>
                <w:sz w:val="16"/>
                <w:szCs w:val="16"/>
                <w:lang w:val="en-GB" w:eastAsia="en-US"/>
                <w14:ligatures w14:val="standardContextual"/>
              </w:rPr>
              <w:t>, bonds format (</w:t>
            </w:r>
            <w:r>
              <w:rPr>
                <w:rFonts w:asciiTheme="minorHAnsi" w:eastAsiaTheme="minorHAnsi" w:hAnsiTheme="minorHAnsi" w:cstheme="minorBidi"/>
                <w:kern w:val="2"/>
                <w:sz w:val="16"/>
                <w:szCs w:val="16"/>
                <w:lang w:val="en-GB" w:eastAsia="en-US"/>
                <w14:ligatures w14:val="standardContextual"/>
              </w:rPr>
              <w:t>use of proceeds</w:t>
            </w:r>
            <w:r w:rsidR="002A430C">
              <w:rPr>
                <w:rFonts w:asciiTheme="minorHAnsi" w:eastAsiaTheme="minorHAnsi" w:hAnsiTheme="minorHAnsi" w:cstheme="minorBidi"/>
                <w:kern w:val="2"/>
                <w:sz w:val="16"/>
                <w:szCs w:val="16"/>
                <w:lang w:val="en-GB" w:eastAsia="en-US"/>
                <w14:ligatures w14:val="standardContextual"/>
              </w:rPr>
              <w:t>, SLB, outcome bonds…)</w:t>
            </w:r>
          </w:p>
        </w:tc>
        <w:tc>
          <w:tcPr>
            <w:tcW w:w="2973" w:type="dxa"/>
          </w:tcPr>
          <w:p w14:paraId="4B4B054D" w14:textId="77777777" w:rsidR="00091C48" w:rsidRDefault="00091C48"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30</w:t>
            </w:r>
          </w:p>
        </w:tc>
      </w:tr>
      <w:tr w:rsidR="00091C48" w14:paraId="47BF0DA6" w14:textId="77777777" w:rsidTr="00232158">
        <w:tc>
          <w:tcPr>
            <w:tcW w:w="5946" w:type="dxa"/>
            <w:gridSpan w:val="2"/>
            <w:shd w:val="clear" w:color="auto" w:fill="ADADAD" w:themeFill="background2" w:themeFillShade="BF"/>
          </w:tcPr>
          <w:p w14:paraId="5BEFC7BD" w14:textId="74E2D49F" w:rsidR="00091C48" w:rsidRPr="004414B4" w:rsidRDefault="00091C4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4414B4">
              <w:rPr>
                <w:rFonts w:asciiTheme="minorHAnsi" w:eastAsiaTheme="minorHAnsi" w:hAnsiTheme="minorHAnsi" w:cstheme="minorBidi"/>
                <w:b/>
                <w:bCs/>
                <w:kern w:val="2"/>
                <w:sz w:val="16"/>
                <w:szCs w:val="16"/>
                <w:lang w:val="en-GB" w:eastAsia="en-US"/>
                <w14:ligatures w14:val="standardContextual"/>
              </w:rPr>
              <w:t>Total</w:t>
            </w:r>
            <w:r w:rsidR="00A36555">
              <w:rPr>
                <w:rFonts w:asciiTheme="minorHAnsi" w:eastAsiaTheme="minorHAnsi" w:hAnsiTheme="minorHAnsi" w:cstheme="minorBidi"/>
                <w:b/>
                <w:bCs/>
                <w:kern w:val="2"/>
                <w:sz w:val="16"/>
                <w:szCs w:val="16"/>
                <w:lang w:val="en-GB" w:eastAsia="en-US"/>
                <w14:ligatures w14:val="standardContextual"/>
              </w:rPr>
              <w:t xml:space="preserve"> Part 1</w:t>
            </w:r>
          </w:p>
        </w:tc>
        <w:tc>
          <w:tcPr>
            <w:tcW w:w="2973" w:type="dxa"/>
            <w:shd w:val="clear" w:color="auto" w:fill="ADADAD" w:themeFill="background2" w:themeFillShade="BF"/>
          </w:tcPr>
          <w:p w14:paraId="18CE91E0" w14:textId="5C7E492F" w:rsidR="00091C48" w:rsidRPr="004414B4" w:rsidRDefault="00091C4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30</w:t>
            </w:r>
          </w:p>
        </w:tc>
      </w:tr>
    </w:tbl>
    <w:p w14:paraId="077B79E4" w14:textId="77777777" w:rsidR="00091C48" w:rsidRDefault="00091C48"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tbl>
      <w:tblPr>
        <w:tblStyle w:val="Tablaconcuadrcula"/>
        <w:tblW w:w="0" w:type="auto"/>
        <w:tblLook w:val="04A0" w:firstRow="1" w:lastRow="0" w:firstColumn="1" w:lastColumn="0" w:noHBand="0" w:noVBand="1"/>
      </w:tblPr>
      <w:tblGrid>
        <w:gridCol w:w="479"/>
        <w:gridCol w:w="5485"/>
        <w:gridCol w:w="2955"/>
      </w:tblGrid>
      <w:tr w:rsidR="00232158" w14:paraId="1273129E" w14:textId="77777777" w:rsidTr="00232158">
        <w:tc>
          <w:tcPr>
            <w:tcW w:w="5950" w:type="dxa"/>
            <w:gridSpan w:val="2"/>
          </w:tcPr>
          <w:p w14:paraId="2912E6C6" w14:textId="3163A743" w:rsidR="00232158" w:rsidRPr="004414B4" w:rsidRDefault="00B50ACE"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Narrative Technical Proposal</w:t>
            </w:r>
          </w:p>
        </w:tc>
        <w:tc>
          <w:tcPr>
            <w:tcW w:w="2969" w:type="dxa"/>
          </w:tcPr>
          <w:p w14:paraId="552BF56C" w14:textId="77777777" w:rsidR="00232158" w:rsidRPr="004414B4" w:rsidRDefault="0023215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Points Obtainable</w:t>
            </w:r>
          </w:p>
        </w:tc>
      </w:tr>
      <w:tr w:rsidR="00232158" w14:paraId="00CD1547" w14:textId="77777777" w:rsidTr="00232158">
        <w:tc>
          <w:tcPr>
            <w:tcW w:w="433" w:type="dxa"/>
          </w:tcPr>
          <w:p w14:paraId="639DFDD4" w14:textId="06C8707C" w:rsidR="00232158" w:rsidRDefault="00232158"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2.1</w:t>
            </w:r>
            <w:r w:rsidR="00600681">
              <w:rPr>
                <w:rFonts w:asciiTheme="minorHAnsi" w:eastAsiaTheme="minorHAnsi" w:hAnsiTheme="minorHAnsi" w:cstheme="minorBidi"/>
                <w:kern w:val="2"/>
                <w:sz w:val="16"/>
                <w:szCs w:val="16"/>
                <w:lang w:val="en-GB" w:eastAsia="en-US"/>
                <w14:ligatures w14:val="standardContextual"/>
              </w:rPr>
              <w:t>.</w:t>
            </w:r>
          </w:p>
        </w:tc>
        <w:tc>
          <w:tcPr>
            <w:tcW w:w="5517" w:type="dxa"/>
          </w:tcPr>
          <w:p w14:paraId="3F1FA454" w14:textId="62B98B93" w:rsidR="00232158" w:rsidRDefault="00600681"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Overall quality of application and overview of the intended bond issuance</w:t>
            </w:r>
          </w:p>
        </w:tc>
        <w:tc>
          <w:tcPr>
            <w:tcW w:w="2969" w:type="dxa"/>
          </w:tcPr>
          <w:p w14:paraId="3BEFFD16" w14:textId="1AFA5665" w:rsidR="00232158"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15</w:t>
            </w:r>
          </w:p>
        </w:tc>
      </w:tr>
      <w:tr w:rsidR="00232158" w14:paraId="7AA02C36" w14:textId="77777777" w:rsidTr="00232158">
        <w:tc>
          <w:tcPr>
            <w:tcW w:w="433" w:type="dxa"/>
          </w:tcPr>
          <w:p w14:paraId="76A00C58" w14:textId="45565E7C" w:rsidR="00232158" w:rsidRDefault="00232158"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2.2</w:t>
            </w:r>
            <w:r w:rsidR="00600681">
              <w:rPr>
                <w:rFonts w:asciiTheme="minorHAnsi" w:eastAsiaTheme="minorHAnsi" w:hAnsiTheme="minorHAnsi" w:cstheme="minorBidi"/>
                <w:kern w:val="2"/>
                <w:sz w:val="16"/>
                <w:szCs w:val="16"/>
                <w:lang w:val="en-GB" w:eastAsia="en-US"/>
                <w14:ligatures w14:val="standardContextual"/>
              </w:rPr>
              <w:t>.</w:t>
            </w:r>
          </w:p>
        </w:tc>
        <w:tc>
          <w:tcPr>
            <w:tcW w:w="5517" w:type="dxa"/>
          </w:tcPr>
          <w:p w14:paraId="750681E7" w14:textId="2069CEAD" w:rsidR="00232158"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Integration to the issuer’s strategy</w:t>
            </w:r>
          </w:p>
        </w:tc>
        <w:tc>
          <w:tcPr>
            <w:tcW w:w="2969" w:type="dxa"/>
          </w:tcPr>
          <w:p w14:paraId="15B27787" w14:textId="1819D0C6" w:rsidR="00232158" w:rsidRDefault="001D38E0"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w:t>
            </w:r>
            <w:r w:rsidR="002A430C">
              <w:rPr>
                <w:rFonts w:asciiTheme="minorHAnsi" w:eastAsiaTheme="minorHAnsi" w:hAnsiTheme="minorHAnsi" w:cstheme="minorBidi"/>
                <w:kern w:val="2"/>
                <w:sz w:val="16"/>
                <w:szCs w:val="16"/>
                <w:lang w:val="en-GB" w:eastAsia="en-US"/>
                <w14:ligatures w14:val="standardContextual"/>
              </w:rPr>
              <w:t>5</w:t>
            </w:r>
          </w:p>
        </w:tc>
      </w:tr>
      <w:tr w:rsidR="00232158" w14:paraId="0E519EF0" w14:textId="77777777" w:rsidTr="00232158">
        <w:tc>
          <w:tcPr>
            <w:tcW w:w="433" w:type="dxa"/>
          </w:tcPr>
          <w:p w14:paraId="6418B44A" w14:textId="25E3CD25" w:rsidR="00232158" w:rsidRDefault="00600681"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2.3.</w:t>
            </w:r>
          </w:p>
        </w:tc>
        <w:tc>
          <w:tcPr>
            <w:tcW w:w="5517" w:type="dxa"/>
          </w:tcPr>
          <w:p w14:paraId="22C963EF" w14:textId="071B67A5" w:rsidR="00232158" w:rsidRPr="002A430C"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sidRPr="002A430C">
              <w:rPr>
                <w:rFonts w:asciiTheme="minorHAnsi" w:eastAsiaTheme="minorHAnsi" w:hAnsiTheme="minorHAnsi" w:cstheme="minorBidi"/>
                <w:kern w:val="2"/>
                <w:sz w:val="16"/>
                <w:szCs w:val="16"/>
                <w:lang w:val="en-GB" w:eastAsia="en-US"/>
                <w14:ligatures w14:val="standardContextual"/>
              </w:rPr>
              <w:t>Contribution to one of the 5 environmental objectives (climate change adaptation, climate change mitigation, natural resource conservation, biodiversity conservation, pollution prevention and control)</w:t>
            </w:r>
          </w:p>
        </w:tc>
        <w:tc>
          <w:tcPr>
            <w:tcW w:w="2969" w:type="dxa"/>
          </w:tcPr>
          <w:p w14:paraId="230B94A1" w14:textId="098B0D4D" w:rsidR="00232158"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20</w:t>
            </w:r>
          </w:p>
        </w:tc>
      </w:tr>
      <w:tr w:rsidR="00232158" w14:paraId="10FA5E42" w14:textId="77777777" w:rsidTr="00232158">
        <w:tc>
          <w:tcPr>
            <w:tcW w:w="433" w:type="dxa"/>
          </w:tcPr>
          <w:p w14:paraId="2FE9BD69" w14:textId="66EF5623" w:rsidR="00232158" w:rsidRDefault="00600681"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2.4.</w:t>
            </w:r>
          </w:p>
        </w:tc>
        <w:tc>
          <w:tcPr>
            <w:tcW w:w="5517" w:type="dxa"/>
          </w:tcPr>
          <w:p w14:paraId="35142AC1" w14:textId="500D093B" w:rsidR="00232158"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 xml:space="preserve">Mitigation of </w:t>
            </w:r>
            <w:r w:rsidR="001D38E0">
              <w:rPr>
                <w:rFonts w:asciiTheme="minorHAnsi" w:eastAsiaTheme="minorHAnsi" w:hAnsiTheme="minorHAnsi" w:cstheme="minorBidi"/>
                <w:kern w:val="2"/>
                <w:sz w:val="16"/>
                <w:szCs w:val="16"/>
                <w:lang w:val="en-GB" w:eastAsia="en-US"/>
                <w14:ligatures w14:val="standardContextual"/>
              </w:rPr>
              <w:t>Environmental, Social or sustainability risks</w:t>
            </w:r>
          </w:p>
        </w:tc>
        <w:tc>
          <w:tcPr>
            <w:tcW w:w="2969" w:type="dxa"/>
          </w:tcPr>
          <w:p w14:paraId="61B8FE23" w14:textId="45A37182" w:rsidR="00232158" w:rsidRDefault="002A430C"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10</w:t>
            </w:r>
          </w:p>
        </w:tc>
      </w:tr>
      <w:tr w:rsidR="00232158" w14:paraId="5EF6EAA9" w14:textId="77777777" w:rsidTr="00232158">
        <w:tc>
          <w:tcPr>
            <w:tcW w:w="5950" w:type="dxa"/>
            <w:gridSpan w:val="2"/>
            <w:shd w:val="clear" w:color="auto" w:fill="ADADAD" w:themeFill="background2" w:themeFillShade="BF"/>
          </w:tcPr>
          <w:p w14:paraId="56B607ED" w14:textId="142E4F6D" w:rsidR="00232158" w:rsidRPr="004414B4" w:rsidRDefault="0023215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4414B4">
              <w:rPr>
                <w:rFonts w:asciiTheme="minorHAnsi" w:eastAsiaTheme="minorHAnsi" w:hAnsiTheme="minorHAnsi" w:cstheme="minorBidi"/>
                <w:b/>
                <w:bCs/>
                <w:kern w:val="2"/>
                <w:sz w:val="16"/>
                <w:szCs w:val="16"/>
                <w:lang w:val="en-GB" w:eastAsia="en-US"/>
                <w14:ligatures w14:val="standardContextual"/>
              </w:rPr>
              <w:t>Total</w:t>
            </w:r>
            <w:r>
              <w:rPr>
                <w:rFonts w:asciiTheme="minorHAnsi" w:eastAsiaTheme="minorHAnsi" w:hAnsiTheme="minorHAnsi" w:cstheme="minorBidi"/>
                <w:b/>
                <w:bCs/>
                <w:kern w:val="2"/>
                <w:sz w:val="16"/>
                <w:szCs w:val="16"/>
                <w:lang w:val="en-GB" w:eastAsia="en-US"/>
                <w14:ligatures w14:val="standardContextual"/>
              </w:rPr>
              <w:t xml:space="preserve"> Part </w:t>
            </w:r>
            <w:r w:rsidR="00B50ACE">
              <w:rPr>
                <w:rFonts w:asciiTheme="minorHAnsi" w:eastAsiaTheme="minorHAnsi" w:hAnsiTheme="minorHAnsi" w:cstheme="minorBidi"/>
                <w:b/>
                <w:bCs/>
                <w:kern w:val="2"/>
                <w:sz w:val="16"/>
                <w:szCs w:val="16"/>
                <w:lang w:val="en-GB" w:eastAsia="en-US"/>
                <w14:ligatures w14:val="standardContextual"/>
              </w:rPr>
              <w:t>2</w:t>
            </w:r>
          </w:p>
        </w:tc>
        <w:tc>
          <w:tcPr>
            <w:tcW w:w="2969" w:type="dxa"/>
            <w:shd w:val="clear" w:color="auto" w:fill="ADADAD" w:themeFill="background2" w:themeFillShade="BF"/>
          </w:tcPr>
          <w:p w14:paraId="205B05B6" w14:textId="6804C261" w:rsidR="00232158" w:rsidRPr="004414B4" w:rsidRDefault="002A430C"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6</w:t>
            </w:r>
            <w:r w:rsidR="00015331">
              <w:rPr>
                <w:rFonts w:asciiTheme="minorHAnsi" w:eastAsiaTheme="minorHAnsi" w:hAnsiTheme="minorHAnsi" w:cstheme="minorBidi"/>
                <w:b/>
                <w:bCs/>
                <w:kern w:val="2"/>
                <w:sz w:val="16"/>
                <w:szCs w:val="16"/>
                <w:lang w:val="en-GB" w:eastAsia="en-US"/>
                <w14:ligatures w14:val="standardContextual"/>
              </w:rPr>
              <w:t>0</w:t>
            </w:r>
          </w:p>
        </w:tc>
      </w:tr>
    </w:tbl>
    <w:p w14:paraId="57851F69" w14:textId="77777777" w:rsidR="00232158" w:rsidRDefault="00232158"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tbl>
      <w:tblPr>
        <w:tblStyle w:val="Tablaconcuadrcula"/>
        <w:tblW w:w="0" w:type="auto"/>
        <w:tblLook w:val="04A0" w:firstRow="1" w:lastRow="0" w:firstColumn="1" w:lastColumn="0" w:noHBand="0" w:noVBand="1"/>
      </w:tblPr>
      <w:tblGrid>
        <w:gridCol w:w="479"/>
        <w:gridCol w:w="5485"/>
        <w:gridCol w:w="2955"/>
      </w:tblGrid>
      <w:tr w:rsidR="00232158" w14:paraId="5AE4FFAE" w14:textId="77777777" w:rsidTr="00B50ACE">
        <w:tc>
          <w:tcPr>
            <w:tcW w:w="5964" w:type="dxa"/>
            <w:gridSpan w:val="2"/>
          </w:tcPr>
          <w:p w14:paraId="1E24075B" w14:textId="6F85FCA8" w:rsidR="00232158" w:rsidRPr="004414B4" w:rsidRDefault="00B50ACE"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General Firm Information</w:t>
            </w:r>
          </w:p>
        </w:tc>
        <w:tc>
          <w:tcPr>
            <w:tcW w:w="2955" w:type="dxa"/>
          </w:tcPr>
          <w:p w14:paraId="673AEEB8" w14:textId="77777777" w:rsidR="00232158" w:rsidRPr="004414B4" w:rsidRDefault="0023215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391203">
              <w:rPr>
                <w:rFonts w:asciiTheme="minorHAnsi" w:eastAsiaTheme="minorHAnsi" w:hAnsiTheme="minorHAnsi" w:cstheme="minorBidi"/>
                <w:b/>
                <w:bCs/>
                <w:kern w:val="2"/>
                <w:sz w:val="16"/>
                <w:szCs w:val="16"/>
                <w:lang w:val="en-GB" w:eastAsia="en-US"/>
                <w14:ligatures w14:val="standardContextual"/>
              </w:rPr>
              <w:t>Points Obtainable</w:t>
            </w:r>
          </w:p>
        </w:tc>
      </w:tr>
      <w:tr w:rsidR="00232158" w14:paraId="06EB5C73" w14:textId="77777777" w:rsidTr="00B50ACE">
        <w:tc>
          <w:tcPr>
            <w:tcW w:w="479" w:type="dxa"/>
          </w:tcPr>
          <w:p w14:paraId="1E319333" w14:textId="31AF7063" w:rsidR="00232158" w:rsidRDefault="00B50ACE"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3</w:t>
            </w:r>
            <w:r w:rsidR="00232158">
              <w:rPr>
                <w:rFonts w:asciiTheme="minorHAnsi" w:eastAsiaTheme="minorHAnsi" w:hAnsiTheme="minorHAnsi" w:cstheme="minorBidi"/>
                <w:kern w:val="2"/>
                <w:sz w:val="16"/>
                <w:szCs w:val="16"/>
                <w:lang w:val="en-GB" w:eastAsia="en-US"/>
                <w14:ligatures w14:val="standardContextual"/>
              </w:rPr>
              <w:t>.1</w:t>
            </w:r>
            <w:r>
              <w:rPr>
                <w:rFonts w:asciiTheme="minorHAnsi" w:eastAsiaTheme="minorHAnsi" w:hAnsiTheme="minorHAnsi" w:cstheme="minorBidi"/>
                <w:kern w:val="2"/>
                <w:sz w:val="16"/>
                <w:szCs w:val="16"/>
                <w:lang w:val="en-GB" w:eastAsia="en-US"/>
                <w14:ligatures w14:val="standardContextual"/>
              </w:rPr>
              <w:t>.</w:t>
            </w:r>
          </w:p>
        </w:tc>
        <w:tc>
          <w:tcPr>
            <w:tcW w:w="5485" w:type="dxa"/>
          </w:tcPr>
          <w:p w14:paraId="6EE8CEF6" w14:textId="044B3576" w:rsidR="00232158" w:rsidRDefault="00B50ACE"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Reputation of Organization / Industry Standing / Experience</w:t>
            </w:r>
          </w:p>
        </w:tc>
        <w:tc>
          <w:tcPr>
            <w:tcW w:w="2955" w:type="dxa"/>
          </w:tcPr>
          <w:p w14:paraId="74589F7C" w14:textId="29C7EEC8" w:rsidR="00232158" w:rsidRDefault="00B50ACE" w:rsidP="0033617C">
            <w:pPr>
              <w:pStyle w:val="NormalWeb"/>
              <w:spacing w:before="0" w:before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5</w:t>
            </w:r>
          </w:p>
        </w:tc>
      </w:tr>
      <w:tr w:rsidR="00B50ACE" w14:paraId="7653865F" w14:textId="77777777" w:rsidTr="00B50ACE">
        <w:tc>
          <w:tcPr>
            <w:tcW w:w="479" w:type="dxa"/>
          </w:tcPr>
          <w:p w14:paraId="342F788E" w14:textId="3B522CD1" w:rsidR="00B50ACE" w:rsidRDefault="00B50ACE" w:rsidP="00B50ACE">
            <w:pPr>
              <w:pStyle w:val="NormalWeb"/>
              <w:spacing w:before="0" w:beforeAutospacing="0" w:after="0" w:after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3.2.</w:t>
            </w:r>
          </w:p>
        </w:tc>
        <w:tc>
          <w:tcPr>
            <w:tcW w:w="5485" w:type="dxa"/>
          </w:tcPr>
          <w:p w14:paraId="362CC805" w14:textId="77777777" w:rsidR="00B50ACE" w:rsidRDefault="00B50ACE" w:rsidP="00B50ACE">
            <w:pPr>
              <w:pStyle w:val="NormalWeb"/>
              <w:spacing w:before="0" w:beforeAutospacing="0" w:after="0" w:after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General Organizational Capability which is likely to affect implementation</w:t>
            </w:r>
          </w:p>
          <w:p w14:paraId="2F894FE3" w14:textId="77777777" w:rsidR="00B50ACE" w:rsidRDefault="00B50ACE" w:rsidP="002A430C">
            <w:pPr>
              <w:pStyle w:val="NormalWeb"/>
              <w:numPr>
                <w:ilvl w:val="0"/>
                <w:numId w:val="7"/>
              </w:numPr>
              <w:spacing w:before="0" w:beforeAutospacing="0" w:after="0" w:afterAutospacing="0"/>
              <w:ind w:left="405"/>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Financial stability</w:t>
            </w:r>
          </w:p>
          <w:p w14:paraId="03978DA9" w14:textId="77777777" w:rsidR="00B50ACE" w:rsidRDefault="00B50ACE" w:rsidP="002A430C">
            <w:pPr>
              <w:pStyle w:val="NormalWeb"/>
              <w:numPr>
                <w:ilvl w:val="0"/>
                <w:numId w:val="7"/>
              </w:numPr>
              <w:spacing w:before="0" w:beforeAutospacing="0" w:after="0" w:afterAutospacing="0"/>
              <w:ind w:left="405"/>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Expertise and strength of partners, holding company, its advisors, etc.</w:t>
            </w:r>
          </w:p>
          <w:p w14:paraId="770822EB" w14:textId="77777777" w:rsidR="00B50ACE" w:rsidRDefault="00B50ACE" w:rsidP="002A430C">
            <w:pPr>
              <w:pStyle w:val="NormalWeb"/>
              <w:numPr>
                <w:ilvl w:val="0"/>
                <w:numId w:val="7"/>
              </w:numPr>
              <w:spacing w:before="0" w:beforeAutospacing="0" w:after="0" w:afterAutospacing="0"/>
              <w:ind w:left="405"/>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Age / size of the firm</w:t>
            </w:r>
          </w:p>
          <w:p w14:paraId="1C30B143" w14:textId="04B14180" w:rsidR="00B50ACE" w:rsidRDefault="00B50ACE" w:rsidP="002A430C">
            <w:pPr>
              <w:pStyle w:val="NormalWeb"/>
              <w:numPr>
                <w:ilvl w:val="0"/>
                <w:numId w:val="7"/>
              </w:numPr>
              <w:spacing w:before="0" w:beforeAutospacing="0" w:after="0" w:afterAutospacing="0"/>
              <w:ind w:left="405"/>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Experience on Similar Programme / Projects</w:t>
            </w:r>
          </w:p>
        </w:tc>
        <w:tc>
          <w:tcPr>
            <w:tcW w:w="2955" w:type="dxa"/>
          </w:tcPr>
          <w:p w14:paraId="130D0A5E" w14:textId="762043D9" w:rsidR="00B50ACE" w:rsidRDefault="00B50ACE" w:rsidP="00B50ACE">
            <w:pPr>
              <w:pStyle w:val="NormalWeb"/>
              <w:spacing w:before="0" w:beforeAutospacing="0" w:after="0" w:afterAutospacing="0"/>
              <w:rPr>
                <w:rFonts w:asciiTheme="minorHAnsi" w:eastAsiaTheme="minorHAnsi" w:hAnsiTheme="minorHAnsi" w:cstheme="minorBidi"/>
                <w:kern w:val="2"/>
                <w:sz w:val="16"/>
                <w:szCs w:val="16"/>
                <w:lang w:val="en-GB" w:eastAsia="en-US"/>
                <w14:ligatures w14:val="standardContextual"/>
              </w:rPr>
            </w:pPr>
            <w:r>
              <w:rPr>
                <w:rFonts w:asciiTheme="minorHAnsi" w:eastAsiaTheme="minorHAnsi" w:hAnsiTheme="minorHAnsi" w:cstheme="minorBidi"/>
                <w:kern w:val="2"/>
                <w:sz w:val="16"/>
                <w:szCs w:val="16"/>
                <w:lang w:val="en-GB" w:eastAsia="en-US"/>
                <w14:ligatures w14:val="standardContextual"/>
              </w:rPr>
              <w:t>5</w:t>
            </w:r>
          </w:p>
        </w:tc>
      </w:tr>
      <w:tr w:rsidR="00232158" w14:paraId="396FEA19" w14:textId="77777777" w:rsidTr="00B50ACE">
        <w:tc>
          <w:tcPr>
            <w:tcW w:w="5964" w:type="dxa"/>
            <w:gridSpan w:val="2"/>
            <w:shd w:val="clear" w:color="auto" w:fill="ADADAD" w:themeFill="background2" w:themeFillShade="BF"/>
          </w:tcPr>
          <w:p w14:paraId="0E4659C2" w14:textId="3A11689E" w:rsidR="00232158" w:rsidRPr="004414B4" w:rsidRDefault="00232158"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sidRPr="004414B4">
              <w:rPr>
                <w:rFonts w:asciiTheme="minorHAnsi" w:eastAsiaTheme="minorHAnsi" w:hAnsiTheme="minorHAnsi" w:cstheme="minorBidi"/>
                <w:b/>
                <w:bCs/>
                <w:kern w:val="2"/>
                <w:sz w:val="16"/>
                <w:szCs w:val="16"/>
                <w:lang w:val="en-GB" w:eastAsia="en-US"/>
                <w14:ligatures w14:val="standardContextual"/>
              </w:rPr>
              <w:t>Total</w:t>
            </w:r>
            <w:r>
              <w:rPr>
                <w:rFonts w:asciiTheme="minorHAnsi" w:eastAsiaTheme="minorHAnsi" w:hAnsiTheme="minorHAnsi" w:cstheme="minorBidi"/>
                <w:b/>
                <w:bCs/>
                <w:kern w:val="2"/>
                <w:sz w:val="16"/>
                <w:szCs w:val="16"/>
                <w:lang w:val="en-GB" w:eastAsia="en-US"/>
                <w14:ligatures w14:val="standardContextual"/>
              </w:rPr>
              <w:t xml:space="preserve"> Part </w:t>
            </w:r>
            <w:r w:rsidR="00B50ACE">
              <w:rPr>
                <w:rFonts w:asciiTheme="minorHAnsi" w:eastAsiaTheme="minorHAnsi" w:hAnsiTheme="minorHAnsi" w:cstheme="minorBidi"/>
                <w:b/>
                <w:bCs/>
                <w:kern w:val="2"/>
                <w:sz w:val="16"/>
                <w:szCs w:val="16"/>
                <w:lang w:val="en-GB" w:eastAsia="en-US"/>
                <w14:ligatures w14:val="standardContextual"/>
              </w:rPr>
              <w:t>3</w:t>
            </w:r>
          </w:p>
        </w:tc>
        <w:tc>
          <w:tcPr>
            <w:tcW w:w="2955" w:type="dxa"/>
            <w:shd w:val="clear" w:color="auto" w:fill="ADADAD" w:themeFill="background2" w:themeFillShade="BF"/>
          </w:tcPr>
          <w:p w14:paraId="3BEE20DF" w14:textId="76796295" w:rsidR="00232158" w:rsidRPr="004414B4" w:rsidRDefault="002A430C" w:rsidP="0033617C">
            <w:pPr>
              <w:pStyle w:val="NormalWeb"/>
              <w:spacing w:before="0" w:beforeAutospacing="0"/>
              <w:rPr>
                <w:rFonts w:asciiTheme="minorHAnsi" w:eastAsiaTheme="minorHAnsi" w:hAnsiTheme="minorHAnsi" w:cstheme="minorBidi"/>
                <w:b/>
                <w:bCs/>
                <w:kern w:val="2"/>
                <w:sz w:val="16"/>
                <w:szCs w:val="16"/>
                <w:lang w:val="en-GB" w:eastAsia="en-US"/>
                <w14:ligatures w14:val="standardContextual"/>
              </w:rPr>
            </w:pPr>
            <w:r>
              <w:rPr>
                <w:rFonts w:asciiTheme="minorHAnsi" w:eastAsiaTheme="minorHAnsi" w:hAnsiTheme="minorHAnsi" w:cstheme="minorBidi"/>
                <w:b/>
                <w:bCs/>
                <w:kern w:val="2"/>
                <w:sz w:val="16"/>
                <w:szCs w:val="16"/>
                <w:lang w:val="en-GB" w:eastAsia="en-US"/>
                <w14:ligatures w14:val="standardContextual"/>
              </w:rPr>
              <w:t>1</w:t>
            </w:r>
            <w:r w:rsidR="00232158">
              <w:rPr>
                <w:rFonts w:asciiTheme="minorHAnsi" w:eastAsiaTheme="minorHAnsi" w:hAnsiTheme="minorHAnsi" w:cstheme="minorBidi"/>
                <w:b/>
                <w:bCs/>
                <w:kern w:val="2"/>
                <w:sz w:val="16"/>
                <w:szCs w:val="16"/>
                <w:lang w:val="en-GB" w:eastAsia="en-US"/>
                <w14:ligatures w14:val="standardContextual"/>
              </w:rPr>
              <w:t>0</w:t>
            </w:r>
          </w:p>
        </w:tc>
      </w:tr>
    </w:tbl>
    <w:p w14:paraId="164CDF6D" w14:textId="77777777" w:rsidR="00232158" w:rsidRDefault="00232158"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1098879D" w14:textId="77777777" w:rsidR="00257174" w:rsidRDefault="00257174"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33EB08EB" w14:textId="77777777" w:rsidR="00257174" w:rsidRDefault="00257174"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5DADA7DC" w14:textId="77777777" w:rsidR="00257174" w:rsidRDefault="00257174"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221C1AA7" w14:textId="77777777" w:rsidR="00257174" w:rsidRDefault="00257174"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0117FCED" w14:textId="77777777" w:rsidR="00257174" w:rsidRDefault="00257174" w:rsidP="00091C48">
      <w:pPr>
        <w:pStyle w:val="NormalWeb"/>
        <w:shd w:val="clear" w:color="auto" w:fill="FFFFFF"/>
        <w:spacing w:before="0" w:beforeAutospacing="0"/>
        <w:rPr>
          <w:rFonts w:asciiTheme="minorHAnsi" w:eastAsiaTheme="minorHAnsi" w:hAnsiTheme="minorHAnsi" w:cstheme="minorBidi"/>
          <w:kern w:val="2"/>
          <w:sz w:val="16"/>
          <w:szCs w:val="16"/>
          <w:lang w:val="en-GB" w:eastAsia="en-US"/>
          <w14:ligatures w14:val="standardContextual"/>
        </w:rPr>
      </w:pPr>
    </w:p>
    <w:p w14:paraId="36394C87" w14:textId="77777777" w:rsidR="00257174" w:rsidRDefault="00257174" w:rsidP="5E71C575">
      <w:pPr>
        <w:pStyle w:val="NormalWeb"/>
        <w:shd w:val="clear" w:color="auto" w:fill="FFFFFF" w:themeFill="background1"/>
        <w:spacing w:before="0" w:beforeAutospacing="0"/>
        <w:rPr>
          <w:rFonts w:asciiTheme="minorHAnsi" w:eastAsiaTheme="minorEastAsia" w:hAnsiTheme="minorHAnsi" w:cstheme="minorBidi"/>
          <w:kern w:val="2"/>
          <w:sz w:val="16"/>
          <w:szCs w:val="16"/>
          <w:lang w:val="en-GB" w:eastAsia="en-US"/>
          <w14:ligatures w14:val="standardContextual"/>
        </w:rPr>
      </w:pPr>
    </w:p>
    <w:p w14:paraId="5CEBA144" w14:textId="2CDE359F"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55158E48" w14:textId="1B74EFE5"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50AC4648" w14:textId="09F5A8A4"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23910CF5" w14:textId="428FA8FA"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08398341" w14:textId="4F6DC06D"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642A930E" w14:textId="51D58499" w:rsidR="5E71C575" w:rsidRDefault="5E71C575" w:rsidP="5E71C575">
      <w:pPr>
        <w:pStyle w:val="NormalWeb"/>
        <w:shd w:val="clear" w:color="auto" w:fill="FFFFFF" w:themeFill="background1"/>
        <w:spacing w:before="0" w:beforeAutospacing="0"/>
        <w:rPr>
          <w:rFonts w:asciiTheme="minorHAnsi" w:eastAsiaTheme="minorEastAsia" w:hAnsiTheme="minorHAnsi" w:cstheme="minorBidi"/>
          <w:sz w:val="16"/>
          <w:szCs w:val="16"/>
          <w:lang w:val="en-GB" w:eastAsia="en-US"/>
        </w:rPr>
      </w:pPr>
    </w:p>
    <w:p w14:paraId="502EB51A" w14:textId="708CA098" w:rsidR="00B9430E" w:rsidRPr="00257174" w:rsidRDefault="00C6049A" w:rsidP="00257174">
      <w:pPr>
        <w:jc w:val="center"/>
        <w:rPr>
          <w:b/>
          <w:bCs/>
          <w:sz w:val="16"/>
          <w:szCs w:val="16"/>
          <w:lang w:val="en-GB"/>
        </w:rPr>
      </w:pPr>
      <w:r w:rsidRPr="00257174">
        <w:rPr>
          <w:b/>
          <w:bCs/>
          <w:sz w:val="16"/>
          <w:szCs w:val="16"/>
          <w:lang w:val="en-GB"/>
        </w:rPr>
        <w:t>APPENDIX</w:t>
      </w:r>
      <w:r w:rsidR="00257174">
        <w:rPr>
          <w:b/>
          <w:bCs/>
          <w:sz w:val="16"/>
          <w:szCs w:val="16"/>
          <w:lang w:val="en-GB"/>
        </w:rPr>
        <w:t xml:space="preserve"> 1</w:t>
      </w:r>
    </w:p>
    <w:p w14:paraId="41F0EE00" w14:textId="77777777" w:rsidR="00257174" w:rsidRPr="00257174" w:rsidRDefault="00257174" w:rsidP="002A430C">
      <w:pPr>
        <w:pStyle w:val="NormalWeb"/>
        <w:numPr>
          <w:ilvl w:val="0"/>
          <w:numId w:val="10"/>
        </w:numPr>
        <w:spacing w:before="0" w:beforeAutospacing="0" w:after="160" w:afterAutospacing="0"/>
        <w:jc w:val="both"/>
        <w:rPr>
          <w:rFonts w:ascii="Aptos" w:hAnsi="Aptos"/>
          <w:b/>
          <w:bCs/>
          <w:color w:val="000000"/>
          <w:sz w:val="16"/>
          <w:szCs w:val="16"/>
          <w:lang w:val="en-GB"/>
        </w:rPr>
      </w:pPr>
      <w:r w:rsidRPr="00257174">
        <w:rPr>
          <w:rFonts w:ascii="Aptos" w:hAnsi="Aptos"/>
          <w:b/>
          <w:bCs/>
          <w:color w:val="000000"/>
          <w:sz w:val="18"/>
          <w:szCs w:val="18"/>
          <w:lang w:val="en-GB"/>
        </w:rPr>
        <w:t>Indicative Blue Project Categories from ICMA’s Practitioner’s Guide (2023) </w:t>
      </w:r>
    </w:p>
    <w:p w14:paraId="0B7E6E6C" w14:textId="37554E32" w:rsidR="002A430C" w:rsidRDefault="002A430C" w:rsidP="00FE3B3B">
      <w:pPr>
        <w:pStyle w:val="NormalWeb"/>
        <w:spacing w:before="0" w:beforeAutospacing="0" w:after="160" w:afterAutospacing="0"/>
        <w:ind w:left="720"/>
        <w:rPr>
          <w:rFonts w:ascii="Aptos" w:hAnsi="Aptos"/>
          <w:color w:val="000000"/>
          <w:sz w:val="16"/>
          <w:szCs w:val="16"/>
          <w:lang w:val="en-GB"/>
        </w:rPr>
      </w:pPr>
      <w:r w:rsidRPr="00FE3B3B">
        <w:rPr>
          <w:rFonts w:ascii="Aptos" w:hAnsi="Aptos"/>
          <w:color w:val="000000"/>
          <w:sz w:val="16"/>
          <w:szCs w:val="16"/>
          <w:lang w:val="en-GB"/>
        </w:rPr>
        <w:t>Source:</w:t>
      </w:r>
      <w:r w:rsidR="00FE3B3B" w:rsidRPr="00FE3B3B">
        <w:rPr>
          <w:rFonts w:ascii="Aptos" w:hAnsi="Aptos"/>
          <w:color w:val="000000"/>
          <w:sz w:val="16"/>
          <w:szCs w:val="16"/>
          <w:lang w:val="en-GB"/>
        </w:rPr>
        <w:t xml:space="preserve"> </w:t>
      </w:r>
      <w:hyperlink r:id="rId16" w:history="1">
        <w:r w:rsidR="00FE3B3B" w:rsidRPr="00FE3B3B">
          <w:rPr>
            <w:rStyle w:val="Hipervnculo"/>
            <w:rFonts w:ascii="Aptos" w:hAnsi="Aptos"/>
            <w:sz w:val="16"/>
            <w:szCs w:val="16"/>
            <w:lang w:val="en-GB"/>
          </w:rPr>
          <w:t>https://www.icmagroup.org/assets/documents/Sustainable-finance/Bonds-to-Finance-the-Sustainable-Blue-Economy-a-Practitioners-Guide-September-2023.pdf</w:t>
        </w:r>
      </w:hyperlink>
    </w:p>
    <w:p w14:paraId="5827A8B9" w14:textId="29E24899"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Coastal Climate Adaptation and Resilience</w:t>
      </w:r>
    </w:p>
    <w:p w14:paraId="0480A889" w14:textId="01015D6E"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Marine Ecosystem Management, Conservation, and Restoration</w:t>
      </w:r>
    </w:p>
    <w:p w14:paraId="56CE55C0" w14:textId="49CBE855"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Sustainable Coastal and Marine Tourism</w:t>
      </w:r>
    </w:p>
    <w:p w14:paraId="44BC999D" w14:textId="12E6C368"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Sustainable Marine Value Chains</w:t>
      </w:r>
    </w:p>
    <w:p w14:paraId="125E0756" w14:textId="32F651C2"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Marine Renewable Energy</w:t>
      </w:r>
    </w:p>
    <w:p w14:paraId="3C4C25EA" w14:textId="3C183AE3"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Marine Pollution</w:t>
      </w:r>
    </w:p>
    <w:p w14:paraId="50575A46" w14:textId="0A7EEF76" w:rsid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Sustainable Ports</w:t>
      </w:r>
    </w:p>
    <w:p w14:paraId="3B64F2CF" w14:textId="5FB782F7" w:rsidR="00FE3B3B" w:rsidRPr="00FE3B3B" w:rsidRDefault="00FE3B3B" w:rsidP="00FE3B3B">
      <w:pPr>
        <w:pStyle w:val="NormalWeb"/>
        <w:numPr>
          <w:ilvl w:val="0"/>
          <w:numId w:val="16"/>
        </w:numPr>
        <w:spacing w:before="0" w:beforeAutospacing="0" w:after="0" w:afterAutospacing="0"/>
        <w:rPr>
          <w:rFonts w:ascii="Aptos" w:hAnsi="Aptos"/>
          <w:color w:val="000000"/>
          <w:sz w:val="16"/>
          <w:szCs w:val="16"/>
          <w:lang w:val="en-GB"/>
        </w:rPr>
      </w:pPr>
      <w:r>
        <w:rPr>
          <w:rFonts w:ascii="Aptos" w:hAnsi="Aptos"/>
          <w:color w:val="000000"/>
          <w:sz w:val="16"/>
          <w:szCs w:val="16"/>
          <w:lang w:val="en-GB"/>
        </w:rPr>
        <w:t>Sustainable Marine Transport</w:t>
      </w:r>
    </w:p>
    <w:p w14:paraId="22E97506" w14:textId="77777777" w:rsidR="00FE3B3B" w:rsidRPr="00FE3B3B" w:rsidRDefault="00FE3B3B" w:rsidP="00FE3B3B">
      <w:pPr>
        <w:pStyle w:val="NormalWeb"/>
        <w:spacing w:before="0" w:beforeAutospacing="0" w:after="160" w:afterAutospacing="0"/>
        <w:ind w:left="720"/>
        <w:rPr>
          <w:rFonts w:ascii="Aptos" w:hAnsi="Aptos"/>
          <w:color w:val="000000"/>
          <w:sz w:val="16"/>
          <w:szCs w:val="16"/>
          <w:lang w:val="en-GB"/>
        </w:rPr>
      </w:pPr>
    </w:p>
    <w:p w14:paraId="076357BE" w14:textId="77777777" w:rsidR="00FE3B3B" w:rsidRDefault="00FE3B3B" w:rsidP="002A430C">
      <w:pPr>
        <w:pStyle w:val="NormalWeb"/>
        <w:spacing w:before="0" w:beforeAutospacing="0" w:after="160" w:afterAutospacing="0"/>
        <w:ind w:left="720"/>
        <w:jc w:val="both"/>
        <w:rPr>
          <w:rFonts w:ascii="Aptos" w:hAnsi="Aptos"/>
          <w:b/>
          <w:bCs/>
          <w:color w:val="000000"/>
          <w:sz w:val="16"/>
          <w:szCs w:val="16"/>
          <w:lang w:val="en-GB"/>
        </w:rPr>
      </w:pPr>
    </w:p>
    <w:p w14:paraId="3CD3439F" w14:textId="77777777" w:rsidR="00257174" w:rsidRPr="00257174" w:rsidRDefault="00257174" w:rsidP="00257174">
      <w:pPr>
        <w:pStyle w:val="NormalWeb"/>
        <w:numPr>
          <w:ilvl w:val="0"/>
          <w:numId w:val="10"/>
        </w:numPr>
        <w:spacing w:before="0" w:beforeAutospacing="0" w:after="160" w:afterAutospacing="0"/>
        <w:jc w:val="both"/>
        <w:rPr>
          <w:rFonts w:ascii="Aptos" w:hAnsi="Aptos"/>
          <w:color w:val="000000"/>
          <w:sz w:val="18"/>
          <w:szCs w:val="18"/>
          <w:lang w:val="en-GB"/>
        </w:rPr>
      </w:pPr>
      <w:r w:rsidRPr="00257174">
        <w:rPr>
          <w:rFonts w:ascii="Aptos" w:hAnsi="Aptos"/>
          <w:b/>
          <w:bCs/>
          <w:color w:val="000000"/>
          <w:sz w:val="18"/>
          <w:szCs w:val="18"/>
          <w:lang w:val="en-GB"/>
        </w:rPr>
        <w:t>Indicative mapping of blue activities to the categories under the Green Bond Principles and the Green Loan Principles </w:t>
      </w:r>
    </w:p>
    <w:p w14:paraId="1160E88F" w14:textId="3E862F59" w:rsidR="00FE3B3B" w:rsidRPr="00FE3B3B" w:rsidRDefault="00FE3B3B" w:rsidP="00257174">
      <w:pPr>
        <w:pStyle w:val="NormalWeb"/>
        <w:spacing w:before="0" w:beforeAutospacing="0" w:after="160" w:afterAutospacing="0"/>
        <w:ind w:left="720"/>
        <w:jc w:val="both"/>
        <w:rPr>
          <w:rFonts w:ascii="Aptos" w:hAnsi="Aptos"/>
          <w:color w:val="000000"/>
          <w:sz w:val="16"/>
          <w:szCs w:val="16"/>
          <w:lang w:val="en-GB"/>
        </w:rPr>
      </w:pPr>
      <w:r w:rsidRPr="00FE3B3B">
        <w:rPr>
          <w:rFonts w:ascii="Aptos" w:hAnsi="Aptos"/>
          <w:color w:val="000000"/>
          <w:sz w:val="16"/>
          <w:szCs w:val="16"/>
          <w:lang w:val="en-GB"/>
        </w:rPr>
        <w:t xml:space="preserve">Source: </w:t>
      </w:r>
      <w:hyperlink r:id="rId17" w:history="1">
        <w:r w:rsidRPr="00FE3B3B">
          <w:rPr>
            <w:rStyle w:val="Hipervnculo"/>
            <w:rFonts w:ascii="Aptos" w:hAnsi="Aptos"/>
            <w:sz w:val="16"/>
            <w:szCs w:val="16"/>
            <w:lang w:val="en-GB"/>
          </w:rPr>
          <w:t>https://www.ifc.org/content/dam/ifc/doc/2025/guidance-for-blue-finance-v2-0.pdf</w:t>
        </w:r>
      </w:hyperlink>
      <w:r w:rsidRPr="00FE3B3B">
        <w:rPr>
          <w:rFonts w:ascii="Aptos" w:hAnsi="Aptos"/>
          <w:color w:val="000000"/>
          <w:sz w:val="16"/>
          <w:szCs w:val="16"/>
          <w:lang w:val="en-GB"/>
        </w:rPr>
        <w:t xml:space="preserve"> </w:t>
      </w:r>
    </w:p>
    <w:p w14:paraId="0B0B57A6" w14:textId="77777777" w:rsidR="002A430C" w:rsidRPr="002A430C" w:rsidRDefault="002A430C" w:rsidP="002A430C">
      <w:pPr>
        <w:pStyle w:val="NormalWeb"/>
        <w:spacing w:before="0" w:beforeAutospacing="0" w:after="160" w:afterAutospacing="0"/>
        <w:ind w:left="720"/>
        <w:jc w:val="both"/>
        <w:rPr>
          <w:rFonts w:ascii="Aptos" w:hAnsi="Aptos"/>
          <w:b/>
          <w:bCs/>
          <w:color w:val="000000"/>
          <w:sz w:val="16"/>
          <w:szCs w:val="16"/>
          <w:lang w:val="en-GB"/>
        </w:rPr>
      </w:pPr>
    </w:p>
    <w:p w14:paraId="37510368" w14:textId="49C80211" w:rsidR="00FE3B3B" w:rsidRPr="00FE3B3B" w:rsidRDefault="00FE3B3B" w:rsidP="00FE3B3B">
      <w:pPr>
        <w:pStyle w:val="Prrafodelista"/>
        <w:numPr>
          <w:ilvl w:val="0"/>
          <w:numId w:val="15"/>
        </w:numPr>
        <w:rPr>
          <w:sz w:val="16"/>
          <w:szCs w:val="16"/>
          <w:lang w:val="en-GB"/>
        </w:rPr>
      </w:pPr>
      <w:r>
        <w:rPr>
          <w:sz w:val="16"/>
          <w:szCs w:val="16"/>
          <w:lang w:val="en-GB"/>
        </w:rPr>
        <w:t>Sustainable water and wastewater management</w:t>
      </w:r>
    </w:p>
    <w:p w14:paraId="39FC7C0E" w14:textId="3050BDD5" w:rsidR="00FE3B3B" w:rsidRPr="00FE3B3B" w:rsidRDefault="00FE3B3B" w:rsidP="00FE3B3B">
      <w:pPr>
        <w:pStyle w:val="Prrafodelista"/>
        <w:numPr>
          <w:ilvl w:val="0"/>
          <w:numId w:val="15"/>
        </w:numPr>
        <w:rPr>
          <w:sz w:val="16"/>
          <w:szCs w:val="16"/>
          <w:lang w:val="en-GB"/>
        </w:rPr>
      </w:pPr>
      <w:r>
        <w:rPr>
          <w:sz w:val="16"/>
          <w:szCs w:val="16"/>
          <w:lang w:val="en-GB"/>
        </w:rPr>
        <w:t>Ocean-friendly products, marine biotechnology and chemicals (including circular economy adapted products)</w:t>
      </w:r>
    </w:p>
    <w:p w14:paraId="263005AC" w14:textId="09DB38E1" w:rsidR="00FE3B3B" w:rsidRPr="00FE3B3B" w:rsidRDefault="00FE3B3B" w:rsidP="00FE3B3B">
      <w:pPr>
        <w:pStyle w:val="Prrafodelista"/>
        <w:numPr>
          <w:ilvl w:val="0"/>
          <w:numId w:val="15"/>
        </w:numPr>
        <w:rPr>
          <w:sz w:val="16"/>
          <w:szCs w:val="16"/>
          <w:lang w:val="en-GB"/>
        </w:rPr>
      </w:pPr>
      <w:r>
        <w:rPr>
          <w:sz w:val="16"/>
          <w:szCs w:val="16"/>
          <w:lang w:val="en-GB"/>
        </w:rPr>
        <w:t>Transport and shipping</w:t>
      </w:r>
    </w:p>
    <w:p w14:paraId="1B565022" w14:textId="7CC4C1C2" w:rsidR="00FE3B3B" w:rsidRPr="00FE3B3B" w:rsidRDefault="00FE3B3B" w:rsidP="00FE3B3B">
      <w:pPr>
        <w:pStyle w:val="Prrafodelista"/>
        <w:numPr>
          <w:ilvl w:val="0"/>
          <w:numId w:val="15"/>
        </w:numPr>
        <w:rPr>
          <w:sz w:val="16"/>
          <w:szCs w:val="16"/>
          <w:lang w:val="en-GB"/>
        </w:rPr>
      </w:pPr>
      <w:r>
        <w:rPr>
          <w:sz w:val="16"/>
          <w:szCs w:val="16"/>
          <w:lang w:val="en-GB"/>
        </w:rPr>
        <w:t>Fisheries and aquaculture</w:t>
      </w:r>
    </w:p>
    <w:p w14:paraId="594CE81D" w14:textId="6460F651" w:rsidR="00FE3B3B" w:rsidRPr="00FE3B3B" w:rsidRDefault="00FE3B3B" w:rsidP="00FE3B3B">
      <w:pPr>
        <w:pStyle w:val="Prrafodelista"/>
        <w:numPr>
          <w:ilvl w:val="0"/>
          <w:numId w:val="15"/>
        </w:numPr>
        <w:rPr>
          <w:sz w:val="16"/>
          <w:szCs w:val="16"/>
          <w:lang w:val="en-GB"/>
        </w:rPr>
      </w:pPr>
      <w:r>
        <w:rPr>
          <w:sz w:val="16"/>
          <w:szCs w:val="16"/>
          <w:lang w:val="en-GB"/>
        </w:rPr>
        <w:t>Habitat restoration and protection of coastal, marine, and watershed environments</w:t>
      </w:r>
    </w:p>
    <w:p w14:paraId="4458B681" w14:textId="44EEBF08" w:rsidR="00A230E9" w:rsidRPr="00FE3B3B" w:rsidRDefault="00FE3B3B" w:rsidP="00B9430E">
      <w:pPr>
        <w:pStyle w:val="Prrafodelista"/>
        <w:numPr>
          <w:ilvl w:val="0"/>
          <w:numId w:val="15"/>
        </w:numPr>
        <w:rPr>
          <w:sz w:val="16"/>
          <w:szCs w:val="16"/>
          <w:lang w:val="en-GB"/>
        </w:rPr>
      </w:pPr>
      <w:r w:rsidRPr="00FE3B3B">
        <w:rPr>
          <w:sz w:val="16"/>
          <w:szCs w:val="16"/>
          <w:lang w:val="en-GB"/>
        </w:rPr>
        <w:t>Tourism and recreation</w:t>
      </w:r>
    </w:p>
    <w:p w14:paraId="77038398" w14:textId="77777777" w:rsidR="006C39D1" w:rsidRDefault="006C39D1" w:rsidP="006C39D1">
      <w:pPr>
        <w:jc w:val="center"/>
        <w:rPr>
          <w:lang w:val="en-GB"/>
        </w:rPr>
      </w:pPr>
    </w:p>
    <w:p w14:paraId="0DB9F369" w14:textId="77777777" w:rsidR="002A430C" w:rsidRDefault="002A430C" w:rsidP="002A430C">
      <w:pPr>
        <w:rPr>
          <w:lang w:val="en-GB"/>
        </w:rPr>
      </w:pPr>
    </w:p>
    <w:p w14:paraId="29859198" w14:textId="77777777" w:rsidR="002A430C" w:rsidRPr="002A430C" w:rsidRDefault="002A430C" w:rsidP="002A430C">
      <w:pPr>
        <w:rPr>
          <w:lang w:val="en-GB"/>
        </w:rPr>
      </w:pPr>
    </w:p>
    <w:sectPr w:rsidR="002A430C" w:rsidRPr="002A430C" w:rsidSect="0058509B">
      <w:headerReference w:type="default" r:id="rId18"/>
      <w:footerReference w:type="default" r:id="rId19"/>
      <w:pgSz w:w="11906" w:h="16838"/>
      <w:pgMar w:top="851" w:right="1701" w:bottom="1417" w:left="1276"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079B" w14:textId="77777777" w:rsidR="00406657" w:rsidRDefault="00406657" w:rsidP="006C39D1">
      <w:pPr>
        <w:spacing w:after="0" w:line="240" w:lineRule="auto"/>
      </w:pPr>
      <w:r>
        <w:separator/>
      </w:r>
    </w:p>
  </w:endnote>
  <w:endnote w:type="continuationSeparator" w:id="0">
    <w:p w14:paraId="6E9F0A4C" w14:textId="77777777" w:rsidR="00406657" w:rsidRDefault="00406657" w:rsidP="006C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61984"/>
      <w:docPartObj>
        <w:docPartGallery w:val="Page Numbers (Bottom of Page)"/>
        <w:docPartUnique/>
      </w:docPartObj>
    </w:sdtPr>
    <w:sdtEndPr>
      <w:rPr>
        <w:sz w:val="18"/>
        <w:szCs w:val="18"/>
      </w:rPr>
    </w:sdtEndPr>
    <w:sdtContent>
      <w:p w14:paraId="4D1CFA80" w14:textId="2B5B9DFA" w:rsidR="00257174" w:rsidRPr="00660E1E" w:rsidRDefault="007B5409" w:rsidP="00660E1E">
        <w:pPr>
          <w:ind w:right="-2"/>
        </w:pPr>
        <w:r w:rsidRPr="007B5409">
          <w:rPr>
            <w:noProof/>
          </w:rPr>
          <w:drawing>
            <wp:inline distT="0" distB="0" distL="0" distR="0" wp14:anchorId="4C57964A" wp14:editId="75786827">
              <wp:extent cx="5669915" cy="360045"/>
              <wp:effectExtent l="0" t="0" r="6985" b="1905"/>
              <wp:docPr id="1743128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28549" name=""/>
                      <pic:cNvPicPr/>
                    </pic:nvPicPr>
                    <pic:blipFill>
                      <a:blip r:embed="rId1"/>
                      <a:stretch>
                        <a:fillRect/>
                      </a:stretch>
                    </pic:blipFill>
                    <pic:spPr>
                      <a:xfrm>
                        <a:off x="0" y="0"/>
                        <a:ext cx="5669915" cy="360045"/>
                      </a:xfrm>
                      <a:prstGeom prst="rect">
                        <a:avLst/>
                      </a:prstGeom>
                    </pic:spPr>
                  </pic:pic>
                </a:graphicData>
              </a:graphic>
            </wp:inline>
          </w:drawing>
        </w:r>
      </w:p>
      <w:p w14:paraId="6BC2F0AA" w14:textId="3728D6BC" w:rsidR="00257174" w:rsidRDefault="00257174" w:rsidP="00257174">
        <w:pPr>
          <w:spacing w:before="240" w:after="240" w:line="210" w:lineRule="auto"/>
          <w:rPr>
            <w:sz w:val="12"/>
            <w:szCs w:val="12"/>
            <w:lang w:val="en-GB"/>
          </w:rPr>
        </w:pPr>
        <w:r w:rsidRPr="2DE8BE37">
          <w:rPr>
            <w:sz w:val="12"/>
            <w:szCs w:val="12"/>
            <w:lang w:val="en-GB"/>
          </w:rPr>
          <w:t xml:space="preserve">This project was supported by the Ocean Risk and Resilience Action Alliance through funding from the Paul M. Angell Family Foundation, the Government of Canada, through Environment and Climate Change Canada, and the UK Government, through the Department for Environment, Food and Rural Affairs. </w:t>
        </w:r>
      </w:p>
      <w:p w14:paraId="3097A6BD" w14:textId="77777777" w:rsidR="00257174" w:rsidRPr="002A430C" w:rsidRDefault="00257174" w:rsidP="00257174">
        <w:pPr>
          <w:spacing w:before="240" w:after="240" w:line="210" w:lineRule="auto"/>
          <w:rPr>
            <w:i/>
            <w:iCs/>
            <w:sz w:val="12"/>
            <w:szCs w:val="12"/>
            <w:lang w:val="en-GB"/>
          </w:rPr>
        </w:pPr>
        <w:r w:rsidRPr="002A430C">
          <w:rPr>
            <w:i/>
            <w:iCs/>
            <w:sz w:val="12"/>
            <w:szCs w:val="12"/>
            <w:lang w:val="en-GB"/>
          </w:rPr>
          <w:t>Ce projet a été soutenu par Ocean Risk and Resilience Action Alliance grâce aux financements de la Fondation Paul M. Angell Family, du Gouvernement du Canada, via Environnement et Changement climatique Canada, et du Gouvernement du Royaume-Uni, via le ministère de l’Environnement, de l’Alimentation et des Affaires rurales.</w:t>
        </w:r>
      </w:p>
      <w:p w14:paraId="56329023" w14:textId="44E4799A" w:rsidR="0058509B" w:rsidRPr="006E1370" w:rsidRDefault="0058509B">
        <w:pPr>
          <w:pStyle w:val="Piedepgina"/>
          <w:jc w:val="center"/>
          <w:rPr>
            <w:sz w:val="18"/>
            <w:szCs w:val="18"/>
          </w:rPr>
        </w:pPr>
        <w:r w:rsidRPr="006E1370">
          <w:rPr>
            <w:sz w:val="18"/>
            <w:szCs w:val="18"/>
          </w:rPr>
          <w:fldChar w:fldCharType="begin"/>
        </w:r>
        <w:r w:rsidRPr="006E1370">
          <w:rPr>
            <w:sz w:val="18"/>
            <w:szCs w:val="18"/>
          </w:rPr>
          <w:instrText>PAGE   \* MERGEFORMAT</w:instrText>
        </w:r>
        <w:r w:rsidRPr="006E1370">
          <w:rPr>
            <w:sz w:val="18"/>
            <w:szCs w:val="18"/>
          </w:rPr>
          <w:fldChar w:fldCharType="separate"/>
        </w:r>
        <w:r w:rsidRPr="006E1370">
          <w:rPr>
            <w:sz w:val="18"/>
            <w:szCs w:val="18"/>
          </w:rPr>
          <w:t>2</w:t>
        </w:r>
        <w:r w:rsidRPr="006E1370">
          <w:rPr>
            <w:sz w:val="18"/>
            <w:szCs w:val="18"/>
          </w:rPr>
          <w:fldChar w:fldCharType="end"/>
        </w:r>
      </w:p>
    </w:sdtContent>
  </w:sdt>
  <w:p w14:paraId="5D16432A" w14:textId="77777777" w:rsidR="0058509B" w:rsidRDefault="005850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42E1" w14:textId="77777777" w:rsidR="00406657" w:rsidRDefault="00406657" w:rsidP="006C39D1">
      <w:pPr>
        <w:spacing w:after="0" w:line="240" w:lineRule="auto"/>
      </w:pPr>
      <w:r>
        <w:separator/>
      </w:r>
    </w:p>
  </w:footnote>
  <w:footnote w:type="continuationSeparator" w:id="0">
    <w:p w14:paraId="5192FC0A" w14:textId="77777777" w:rsidR="00406657" w:rsidRDefault="00406657" w:rsidP="006C3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4321" w14:textId="2720A233" w:rsidR="00C34268" w:rsidRDefault="00363B52" w:rsidP="00404D4F">
    <w:pPr>
      <w:pStyle w:val="Encabezado"/>
      <w:tabs>
        <w:tab w:val="clear" w:pos="4252"/>
        <w:tab w:val="clear" w:pos="8504"/>
        <w:tab w:val="left" w:pos="3640"/>
      </w:tabs>
    </w:pPr>
    <w:r>
      <w:rPr>
        <w:noProof/>
      </w:rPr>
      <w:t xml:space="preserve">           </w:t>
    </w:r>
    <w:r>
      <w:t xml:space="preserve"> </w:t>
    </w:r>
    <w:r w:rsidR="004B5E7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A13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B4773"/>
    <w:multiLevelType w:val="hybridMultilevel"/>
    <w:tmpl w:val="899EFE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3E730CD"/>
    <w:multiLevelType w:val="multilevel"/>
    <w:tmpl w:val="B728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E59AD"/>
    <w:multiLevelType w:val="hybridMultilevel"/>
    <w:tmpl w:val="0DEED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C3D4A"/>
    <w:multiLevelType w:val="hybridMultilevel"/>
    <w:tmpl w:val="D974F944"/>
    <w:lvl w:ilvl="0" w:tplc="47469610">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BB527D"/>
    <w:multiLevelType w:val="hybridMultilevel"/>
    <w:tmpl w:val="6A3854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748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3785F6C"/>
    <w:multiLevelType w:val="hybridMultilevel"/>
    <w:tmpl w:val="DAC686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544937CF"/>
    <w:multiLevelType w:val="hybridMultilevel"/>
    <w:tmpl w:val="855CA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5630FD"/>
    <w:multiLevelType w:val="hybridMultilevel"/>
    <w:tmpl w:val="34B430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4DD5B46"/>
    <w:multiLevelType w:val="multilevel"/>
    <w:tmpl w:val="87E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A483D"/>
    <w:multiLevelType w:val="hybridMultilevel"/>
    <w:tmpl w:val="23F244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BA02EA3"/>
    <w:multiLevelType w:val="multilevel"/>
    <w:tmpl w:val="C71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C59DB"/>
    <w:multiLevelType w:val="hybridMultilevel"/>
    <w:tmpl w:val="DF124DD6"/>
    <w:lvl w:ilvl="0" w:tplc="C3CE43BC">
      <w:start w:val="3"/>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1460C1"/>
    <w:multiLevelType w:val="hybridMultilevel"/>
    <w:tmpl w:val="B7DC02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6091534"/>
    <w:multiLevelType w:val="hybridMultilevel"/>
    <w:tmpl w:val="929E6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3051467">
    <w:abstractNumId w:val="5"/>
  </w:num>
  <w:num w:numId="2" w16cid:durableId="801581420">
    <w:abstractNumId w:val="14"/>
  </w:num>
  <w:num w:numId="3" w16cid:durableId="1688479987">
    <w:abstractNumId w:val="0"/>
  </w:num>
  <w:num w:numId="4" w16cid:durableId="608122294">
    <w:abstractNumId w:val="6"/>
  </w:num>
  <w:num w:numId="5" w16cid:durableId="149177403">
    <w:abstractNumId w:val="8"/>
  </w:num>
  <w:num w:numId="6" w16cid:durableId="1487169334">
    <w:abstractNumId w:val="15"/>
  </w:num>
  <w:num w:numId="7" w16cid:durableId="793407404">
    <w:abstractNumId w:val="13"/>
  </w:num>
  <w:num w:numId="8" w16cid:durableId="294215147">
    <w:abstractNumId w:val="12"/>
  </w:num>
  <w:num w:numId="9" w16cid:durableId="588930850">
    <w:abstractNumId w:val="7"/>
  </w:num>
  <w:num w:numId="10" w16cid:durableId="1229923851">
    <w:abstractNumId w:val="4"/>
  </w:num>
  <w:num w:numId="11" w16cid:durableId="1048453369">
    <w:abstractNumId w:val="10"/>
  </w:num>
  <w:num w:numId="12" w16cid:durableId="92409263">
    <w:abstractNumId w:val="2"/>
  </w:num>
  <w:num w:numId="13" w16cid:durableId="313147160">
    <w:abstractNumId w:val="3"/>
  </w:num>
  <w:num w:numId="14" w16cid:durableId="2118482570">
    <w:abstractNumId w:val="9"/>
  </w:num>
  <w:num w:numId="15" w16cid:durableId="856193512">
    <w:abstractNumId w:val="1"/>
  </w:num>
  <w:num w:numId="16" w16cid:durableId="169293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D1"/>
    <w:rsid w:val="00015331"/>
    <w:rsid w:val="00085D47"/>
    <w:rsid w:val="00091C48"/>
    <w:rsid w:val="00181AE9"/>
    <w:rsid w:val="001D38E0"/>
    <w:rsid w:val="001D6F52"/>
    <w:rsid w:val="00200AB8"/>
    <w:rsid w:val="00206806"/>
    <w:rsid w:val="00232158"/>
    <w:rsid w:val="00257174"/>
    <w:rsid w:val="0026653B"/>
    <w:rsid w:val="002A430C"/>
    <w:rsid w:val="00302C8C"/>
    <w:rsid w:val="00363B52"/>
    <w:rsid w:val="00391203"/>
    <w:rsid w:val="003C57EF"/>
    <w:rsid w:val="00404D4F"/>
    <w:rsid w:val="00406657"/>
    <w:rsid w:val="004362FB"/>
    <w:rsid w:val="004414B4"/>
    <w:rsid w:val="004B5E7F"/>
    <w:rsid w:val="004B63FD"/>
    <w:rsid w:val="00501F30"/>
    <w:rsid w:val="005365EE"/>
    <w:rsid w:val="00567555"/>
    <w:rsid w:val="0058509B"/>
    <w:rsid w:val="0058690E"/>
    <w:rsid w:val="005A6FAC"/>
    <w:rsid w:val="0060001D"/>
    <w:rsid w:val="00600681"/>
    <w:rsid w:val="00601782"/>
    <w:rsid w:val="0065396F"/>
    <w:rsid w:val="00660E1E"/>
    <w:rsid w:val="00671DBB"/>
    <w:rsid w:val="006C39D1"/>
    <w:rsid w:val="006C679C"/>
    <w:rsid w:val="006E12B5"/>
    <w:rsid w:val="006E1370"/>
    <w:rsid w:val="007B5409"/>
    <w:rsid w:val="007D0698"/>
    <w:rsid w:val="007D3F56"/>
    <w:rsid w:val="007E1E7C"/>
    <w:rsid w:val="007F4695"/>
    <w:rsid w:val="00843AE6"/>
    <w:rsid w:val="0092466F"/>
    <w:rsid w:val="009348D8"/>
    <w:rsid w:val="009833C3"/>
    <w:rsid w:val="00A230E9"/>
    <w:rsid w:val="00A36555"/>
    <w:rsid w:val="00A46D8C"/>
    <w:rsid w:val="00A47E47"/>
    <w:rsid w:val="00AD0660"/>
    <w:rsid w:val="00AF69A9"/>
    <w:rsid w:val="00B04554"/>
    <w:rsid w:val="00B23A49"/>
    <w:rsid w:val="00B50ACE"/>
    <w:rsid w:val="00B9430E"/>
    <w:rsid w:val="00BD1991"/>
    <w:rsid w:val="00BE38A7"/>
    <w:rsid w:val="00BE6E44"/>
    <w:rsid w:val="00C34268"/>
    <w:rsid w:val="00C6049A"/>
    <w:rsid w:val="00C618E0"/>
    <w:rsid w:val="00CF490B"/>
    <w:rsid w:val="00D25AB3"/>
    <w:rsid w:val="00D75C18"/>
    <w:rsid w:val="00D974F5"/>
    <w:rsid w:val="00DB0E81"/>
    <w:rsid w:val="00E31CD5"/>
    <w:rsid w:val="00E569F7"/>
    <w:rsid w:val="00EC32F3"/>
    <w:rsid w:val="00F1277D"/>
    <w:rsid w:val="00F91E9D"/>
    <w:rsid w:val="00FA334D"/>
    <w:rsid w:val="00FE3B3B"/>
    <w:rsid w:val="00FF60FA"/>
    <w:rsid w:val="190AD9BB"/>
    <w:rsid w:val="4564CCDE"/>
    <w:rsid w:val="5A3F2B10"/>
    <w:rsid w:val="5E71C575"/>
    <w:rsid w:val="6E7DB4B0"/>
    <w:rsid w:val="71C00C1C"/>
    <w:rsid w:val="788CD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158D"/>
  <w15:chartTrackingRefBased/>
  <w15:docId w15:val="{24F84FFC-6EED-492D-97BC-2BFFE3FF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3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3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39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39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39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39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39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39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39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39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39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39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39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39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39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39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39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39D1"/>
    <w:rPr>
      <w:rFonts w:eastAsiaTheme="majorEastAsia" w:cstheme="majorBidi"/>
      <w:color w:val="272727" w:themeColor="text1" w:themeTint="D8"/>
    </w:rPr>
  </w:style>
  <w:style w:type="paragraph" w:styleId="Ttulo">
    <w:name w:val="Title"/>
    <w:basedOn w:val="Normal"/>
    <w:next w:val="Normal"/>
    <w:link w:val="TtuloCar"/>
    <w:uiPriority w:val="10"/>
    <w:qFormat/>
    <w:rsid w:val="006C3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39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39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39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39D1"/>
    <w:pPr>
      <w:spacing w:before="160"/>
      <w:jc w:val="center"/>
    </w:pPr>
    <w:rPr>
      <w:i/>
      <w:iCs/>
      <w:color w:val="404040" w:themeColor="text1" w:themeTint="BF"/>
    </w:rPr>
  </w:style>
  <w:style w:type="character" w:customStyle="1" w:styleId="CitaCar">
    <w:name w:val="Cita Car"/>
    <w:basedOn w:val="Fuentedeprrafopredeter"/>
    <w:link w:val="Cita"/>
    <w:uiPriority w:val="29"/>
    <w:rsid w:val="006C39D1"/>
    <w:rPr>
      <w:i/>
      <w:iCs/>
      <w:color w:val="404040" w:themeColor="text1" w:themeTint="BF"/>
    </w:rPr>
  </w:style>
  <w:style w:type="paragraph" w:styleId="Prrafodelista">
    <w:name w:val="List Paragraph"/>
    <w:basedOn w:val="Normal"/>
    <w:uiPriority w:val="34"/>
    <w:qFormat/>
    <w:rsid w:val="006C39D1"/>
    <w:pPr>
      <w:ind w:left="720"/>
      <w:contextualSpacing/>
    </w:pPr>
  </w:style>
  <w:style w:type="character" w:styleId="nfasisintenso">
    <w:name w:val="Intense Emphasis"/>
    <w:basedOn w:val="Fuentedeprrafopredeter"/>
    <w:uiPriority w:val="21"/>
    <w:qFormat/>
    <w:rsid w:val="006C39D1"/>
    <w:rPr>
      <w:i/>
      <w:iCs/>
      <w:color w:val="0F4761" w:themeColor="accent1" w:themeShade="BF"/>
    </w:rPr>
  </w:style>
  <w:style w:type="paragraph" w:styleId="Citadestacada">
    <w:name w:val="Intense Quote"/>
    <w:basedOn w:val="Normal"/>
    <w:next w:val="Normal"/>
    <w:link w:val="CitadestacadaCar"/>
    <w:uiPriority w:val="30"/>
    <w:qFormat/>
    <w:rsid w:val="006C3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39D1"/>
    <w:rPr>
      <w:i/>
      <w:iCs/>
      <w:color w:val="0F4761" w:themeColor="accent1" w:themeShade="BF"/>
    </w:rPr>
  </w:style>
  <w:style w:type="character" w:styleId="Referenciaintensa">
    <w:name w:val="Intense Reference"/>
    <w:basedOn w:val="Fuentedeprrafopredeter"/>
    <w:uiPriority w:val="32"/>
    <w:qFormat/>
    <w:rsid w:val="006C39D1"/>
    <w:rPr>
      <w:b/>
      <w:bCs/>
      <w:smallCaps/>
      <w:color w:val="0F4761" w:themeColor="accent1" w:themeShade="BF"/>
      <w:spacing w:val="5"/>
    </w:rPr>
  </w:style>
  <w:style w:type="paragraph" w:styleId="Encabezado">
    <w:name w:val="header"/>
    <w:basedOn w:val="Normal"/>
    <w:link w:val="EncabezadoCar"/>
    <w:uiPriority w:val="99"/>
    <w:unhideWhenUsed/>
    <w:rsid w:val="006C39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9D1"/>
  </w:style>
  <w:style w:type="paragraph" w:styleId="Piedepgina">
    <w:name w:val="footer"/>
    <w:basedOn w:val="Normal"/>
    <w:link w:val="PiedepginaCar"/>
    <w:uiPriority w:val="99"/>
    <w:unhideWhenUsed/>
    <w:rsid w:val="006C39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39D1"/>
  </w:style>
  <w:style w:type="character" w:styleId="Refdecomentario">
    <w:name w:val="annotation reference"/>
    <w:basedOn w:val="Fuentedeprrafopredeter"/>
    <w:uiPriority w:val="99"/>
    <w:semiHidden/>
    <w:unhideWhenUsed/>
    <w:rsid w:val="00A230E9"/>
    <w:rPr>
      <w:sz w:val="16"/>
      <w:szCs w:val="16"/>
    </w:rPr>
  </w:style>
  <w:style w:type="paragraph" w:styleId="Textocomentario">
    <w:name w:val="annotation text"/>
    <w:basedOn w:val="Normal"/>
    <w:link w:val="TextocomentarioCar"/>
    <w:uiPriority w:val="99"/>
    <w:unhideWhenUsed/>
    <w:rsid w:val="00A230E9"/>
    <w:pPr>
      <w:spacing w:line="240" w:lineRule="auto"/>
    </w:pPr>
    <w:rPr>
      <w:sz w:val="20"/>
      <w:szCs w:val="20"/>
    </w:rPr>
  </w:style>
  <w:style w:type="character" w:customStyle="1" w:styleId="TextocomentarioCar">
    <w:name w:val="Texto comentario Car"/>
    <w:basedOn w:val="Fuentedeprrafopredeter"/>
    <w:link w:val="Textocomentario"/>
    <w:uiPriority w:val="99"/>
    <w:rsid w:val="00A230E9"/>
    <w:rPr>
      <w:sz w:val="20"/>
      <w:szCs w:val="20"/>
    </w:rPr>
  </w:style>
  <w:style w:type="paragraph" w:styleId="Asuntodelcomentario">
    <w:name w:val="annotation subject"/>
    <w:basedOn w:val="Textocomentario"/>
    <w:next w:val="Textocomentario"/>
    <w:link w:val="AsuntodelcomentarioCar"/>
    <w:uiPriority w:val="99"/>
    <w:semiHidden/>
    <w:unhideWhenUsed/>
    <w:rsid w:val="00A230E9"/>
    <w:rPr>
      <w:b/>
      <w:bCs/>
    </w:rPr>
  </w:style>
  <w:style w:type="character" w:customStyle="1" w:styleId="AsuntodelcomentarioCar">
    <w:name w:val="Asunto del comentario Car"/>
    <w:basedOn w:val="TextocomentarioCar"/>
    <w:link w:val="Asuntodelcomentario"/>
    <w:uiPriority w:val="99"/>
    <w:semiHidden/>
    <w:rsid w:val="00A230E9"/>
    <w:rPr>
      <w:b/>
      <w:bCs/>
      <w:sz w:val="20"/>
      <w:szCs w:val="20"/>
    </w:rPr>
  </w:style>
  <w:style w:type="paragraph" w:styleId="NormalWeb">
    <w:name w:val="Normal (Web)"/>
    <w:basedOn w:val="Normal"/>
    <w:uiPriority w:val="99"/>
    <w:unhideWhenUsed/>
    <w:rsid w:val="00085D4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085D47"/>
    <w:rPr>
      <w:b/>
      <w:bCs/>
    </w:rPr>
  </w:style>
  <w:style w:type="character" w:styleId="Hipervnculo">
    <w:name w:val="Hyperlink"/>
    <w:basedOn w:val="Fuentedeprrafopredeter"/>
    <w:uiPriority w:val="99"/>
    <w:unhideWhenUsed/>
    <w:rsid w:val="006C679C"/>
    <w:rPr>
      <w:color w:val="467886" w:themeColor="hyperlink"/>
      <w:u w:val="single"/>
    </w:rPr>
  </w:style>
  <w:style w:type="character" w:styleId="Mencinsinresolver">
    <w:name w:val="Unresolved Mention"/>
    <w:basedOn w:val="Fuentedeprrafopredeter"/>
    <w:uiPriority w:val="99"/>
    <w:semiHidden/>
    <w:unhideWhenUsed/>
    <w:rsid w:val="006C679C"/>
    <w:rPr>
      <w:color w:val="605E5C"/>
      <w:shd w:val="clear" w:color="auto" w:fill="E1DFDD"/>
    </w:rPr>
  </w:style>
  <w:style w:type="table" w:styleId="Tablaconcuadrcula">
    <w:name w:val="Table Grid"/>
    <w:basedOn w:val="Tablanormal"/>
    <w:uiPriority w:val="39"/>
    <w:rsid w:val="00441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1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luebondaccelerator.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uebondaccelerator.org/issuebluebonds/" TargetMode="External"/><Relationship Id="rId17" Type="http://schemas.openxmlformats.org/officeDocument/2006/relationships/hyperlink" Target="https://www.ifc.org/content/dam/ifc/doc/2025/guidance-for-blue-finance-v2-0.pdf" TargetMode="External"/><Relationship Id="rId2" Type="http://schemas.openxmlformats.org/officeDocument/2006/relationships/customXml" Target="../customXml/item2.xml"/><Relationship Id="rId16" Type="http://schemas.openxmlformats.org/officeDocument/2006/relationships/hyperlink" Target="https://www.icmagroup.org/assets/documents/Sustainable-finance/Bonds-to-Finance-the-Sustainable-Blue-Economy-a-Practitioners-Guide-September-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ette.macresy@bluebondaccelerator.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thik.iyer@bluebondaccelerato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4DE26CDF2284E9333FD14ABD847BA" ma:contentTypeVersion="17" ma:contentTypeDescription="Create a new document." ma:contentTypeScope="" ma:versionID="adabdd0983ed8a2f29cd16e2e2698efc">
  <xsd:schema xmlns:xsd="http://www.w3.org/2001/XMLSchema" xmlns:xs="http://www.w3.org/2001/XMLSchema" xmlns:p="http://schemas.microsoft.com/office/2006/metadata/properties" xmlns:ns2="765584d6-f9a6-4095-8eb9-ddd684c283cf" xmlns:ns3="57a40952-aa9b-4400-aecb-6d6e04961f52" targetNamespace="http://schemas.microsoft.com/office/2006/metadata/properties" ma:root="true" ma:fieldsID="fecb521def0576d0b621b42dc67951ee" ns2:_="" ns3:_="">
    <xsd:import namespace="765584d6-f9a6-4095-8eb9-ddd684c283cf"/>
    <xsd:import namespace="57a40952-aa9b-4400-aecb-6d6e04961f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84d6-f9a6-4095-8eb9-ddd684c2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 ma:index="13" nillable="true" ma:displayName="Description" ma:description="&#10;&#10;" ma:format="Dropdown" ma:internalName="Description">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8daf86-3795-4ffd-9ea7-f0b2d2040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40952-aa9b-4400-aecb-6d6e04961f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162cc03-28d1-4369-b76d-f0510ea273c2}" ma:internalName="TaxCatchAll" ma:showField="CatchAllData" ma:web="57a40952-aa9b-4400-aecb-6d6e04961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5584d6-f9a6-4095-8eb9-ddd684c283cf">
      <Terms xmlns="http://schemas.microsoft.com/office/infopath/2007/PartnerControls"/>
    </lcf76f155ced4ddcb4097134ff3c332f>
    <Description xmlns="765584d6-f9a6-4095-8eb9-ddd684c283cf" xsi:nil="true"/>
    <TaxCatchAll xmlns="57a40952-aa9b-4400-aecb-6d6e04961f52" xsi:nil="true"/>
  </documentManagement>
</p:properties>
</file>

<file path=customXml/itemProps1.xml><?xml version="1.0" encoding="utf-8"?>
<ds:datastoreItem xmlns:ds="http://schemas.openxmlformats.org/officeDocument/2006/customXml" ds:itemID="{3CB982A0-C25D-4A0C-9F06-D4D192E4DCA2}">
  <ds:schemaRefs>
    <ds:schemaRef ds:uri="http://schemas.microsoft.com/sharepoint/v3/contenttype/forms"/>
  </ds:schemaRefs>
</ds:datastoreItem>
</file>

<file path=customXml/itemProps2.xml><?xml version="1.0" encoding="utf-8"?>
<ds:datastoreItem xmlns:ds="http://schemas.openxmlformats.org/officeDocument/2006/customXml" ds:itemID="{C66CEB88-9F10-4749-8B99-50B6E302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84d6-f9a6-4095-8eb9-ddd684c283cf"/>
    <ds:schemaRef ds:uri="57a40952-aa9b-4400-aecb-6d6e04961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3C814-08AE-4B53-B2F7-24F961D1A9E6}">
  <ds:schemaRefs>
    <ds:schemaRef ds:uri="http://schemas.openxmlformats.org/officeDocument/2006/bibliography"/>
  </ds:schemaRefs>
</ds:datastoreItem>
</file>

<file path=customXml/itemProps4.xml><?xml version="1.0" encoding="utf-8"?>
<ds:datastoreItem xmlns:ds="http://schemas.openxmlformats.org/officeDocument/2006/customXml" ds:itemID="{64170D42-97C5-43A8-8D50-A660E631EA67}">
  <ds:schemaRefs>
    <ds:schemaRef ds:uri="http://schemas.microsoft.com/office/2006/metadata/properties"/>
    <ds:schemaRef ds:uri="http://schemas.microsoft.com/office/infopath/2007/PartnerControls"/>
    <ds:schemaRef ds:uri="765584d6-f9a6-4095-8eb9-ddd684c283cf"/>
    <ds:schemaRef ds:uri="57a40952-aa9b-4400-aecb-6d6e04961f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1258</Words>
  <Characters>8190</Characters>
  <Application>Microsoft Office Word</Application>
  <DocSecurity>0</DocSecurity>
  <Lines>227</Lines>
  <Paragraphs>136</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Nadal</dc:creator>
  <cp:keywords/>
  <dc:description/>
  <cp:lastModifiedBy>Berta Nadal</cp:lastModifiedBy>
  <cp:revision>4</cp:revision>
  <dcterms:created xsi:type="dcterms:W3CDTF">2025-10-21T10:07:00Z</dcterms:created>
  <dcterms:modified xsi:type="dcterms:W3CDTF">2025-10-21T10:09:00Z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0x01010094A4DE26CDF2284E9333FD14ABD847BA</vt:lpwstr>
  </property>
  <property fmtid="{D5CDD505-2E9C-101B-9397-08002B2CF9AE}" pid="3" name="MediaServiceImageTags">
    <vt:lpwstr/>
  </property>
</Properties>
</file>